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851"/>
        <w:jc w:val="center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contextualSpacing/>
        <w:ind w:firstLine="851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b/>
          <w:color w:val="000000"/>
          <w:sz w:val="24"/>
          <w:szCs w:val="24"/>
        </w:rPr>
        <w:t xml:space="preserve">Договор подряда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№ 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0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0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left" w:pos="3148" w:leader="none"/>
          <w:tab w:val="left" w:pos="692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851"/>
        <w:spacing w:line="240" w:lineRule="auto"/>
        <w:shd w:val="clear" w:color="auto" w:fill="ffffff"/>
        <w:tabs>
          <w:tab w:val="left" w:pos="851" w:leader="none"/>
          <w:tab w:val="right" w:pos="993" w:leader="none"/>
          <w:tab w:val="left" w:pos="156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г. </w:t>
      </w:r>
      <w:r>
        <w:rPr>
          <w:color w:val="000000"/>
          <w:sz w:val="24"/>
          <w:szCs w:val="24"/>
        </w:rPr>
        <w:t xml:space="preserve">Амурск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tab/>
        <w:t xml:space="preserve">       </w:t>
      </w:r>
      <w:r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_</w:t>
      </w:r>
      <w:r>
        <w:rPr>
          <w:color w:val="000000"/>
          <w:sz w:val="24"/>
          <w:szCs w:val="24"/>
        </w:rPr>
        <w:t xml:space="preserve">_______</w:t>
      </w:r>
      <w:r>
        <w:rPr>
          <w:color w:val="000000"/>
          <w:sz w:val="24"/>
          <w:szCs w:val="24"/>
        </w:rPr>
        <w:t xml:space="preserve">__» __________20__ 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851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right" w:pos="963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851"/>
        <w:spacing w:line="240" w:lineRule="auto"/>
        <w:shd w:val="clear" w:color="auto" w:fill="ffffff"/>
        <w:tabs>
          <w:tab w:val="left" w:pos="851" w:leader="none"/>
          <w:tab w:val="left" w:pos="1560" w:leader="none"/>
          <w:tab w:val="right" w:pos="963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0" w:right="0" w:firstLine="850"/>
        <w:spacing w:after="80" w:line="276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sz w:val="24"/>
          <w:szCs w:val="24"/>
        </w:rPr>
        <w:t xml:space="preserve"> (далее – «Заказчик»), в лиц</w:t>
      </w:r>
      <w:r>
        <w:rPr>
          <w:sz w:val="24"/>
          <w:szCs w:val="24"/>
        </w:rPr>
        <w:t xml:space="preserve">е ________________</w:t>
      </w:r>
      <w:r>
        <w:rPr>
          <w:sz w:val="24"/>
          <w:szCs w:val="24"/>
        </w:rPr>
        <w:t xml:space="preserve">, действующего н</w:t>
      </w:r>
      <w:r>
        <w:rPr>
          <w:sz w:val="24"/>
          <w:szCs w:val="24"/>
        </w:rPr>
        <w:t xml:space="preserve">а основании _________,</w:t>
      </w:r>
      <w:r>
        <w:rPr>
          <w:sz w:val="24"/>
          <w:szCs w:val="24"/>
          <w:lang w:eastAsia="en-US"/>
        </w:rPr>
        <w:t xml:space="preserve"> с одной стороны и </w:t>
      </w:r>
      <w:r>
        <w:rPr>
          <w:sz w:val="24"/>
          <w:szCs w:val="24"/>
          <w:lang w:eastAsia="en-US"/>
        </w:rPr>
        <w:t xml:space="preserve">___________________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(далее – «Подрядчик»), в лице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_________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____________________________</w:t>
      </w:r>
      <w:r>
        <w:rPr>
          <w:sz w:val="24"/>
          <w:szCs w:val="24"/>
          <w:lang w:eastAsia="en-US"/>
        </w:rPr>
        <w:t xml:space="preserve">, действующего на основании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______________________</w:t>
      </w:r>
      <w:r>
        <w:rPr>
          <w:sz w:val="24"/>
          <w:szCs w:val="24"/>
          <w:lang w:eastAsia="en-US"/>
        </w:rPr>
        <w:t xml:space="preserve">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№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____________, и на основании Протокола о результатах ________ № ______ от «___» ______ года,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заключили настоящий договор (далее – «Договор») о нижеследующем: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850"/>
        <w:spacing w:after="80" w:line="276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jc w:val="center"/>
        <w:spacing w:line="276" w:lineRule="auto"/>
        <w:shd w:val="clear" w:color="auto" w:fill="ffffff"/>
        <w:tabs>
          <w:tab w:val="left" w:pos="284" w:leader="none"/>
          <w:tab w:val="left" w:pos="851" w:leader="none"/>
          <w:tab w:val="left" w:pos="1560" w:leader="none"/>
          <w:tab w:val="left" w:pos="2694" w:leader="none"/>
          <w:tab w:val="left" w:pos="2977" w:leader="none"/>
          <w:tab w:val="left" w:pos="3119" w:leader="none"/>
        </w:tabs>
      </w:pPr>
      <w:r>
        <w:t xml:space="preserve">Термины и определения</w:t>
      </w:r>
      <w:r/>
    </w:p>
    <w:p>
      <w:pPr>
        <w:pStyle w:val="1020"/>
        <w:ind w:left="0" w:firstLine="851"/>
        <w:spacing w:line="276" w:lineRule="auto"/>
        <w:shd w:val="clear" w:color="auto" w:fill="ffffff"/>
        <w:tabs>
          <w:tab w:val="left" w:pos="284" w:leader="none"/>
          <w:tab w:val="left" w:pos="851" w:leader="none"/>
          <w:tab w:val="left" w:pos="1560" w:leader="none"/>
        </w:tabs>
      </w:pPr>
      <w:r/>
      <w:r/>
    </w:p>
    <w:p>
      <w:pPr>
        <w:pStyle w:val="1004"/>
        <w:contextualSpacing/>
        <w:ind w:firstLine="851"/>
        <w:spacing w:line="276" w:lineRule="auto"/>
        <w:tabs>
          <w:tab w:val="left" w:pos="851" w:leader="none"/>
          <w:tab w:val="left" w:pos="1560" w:leader="none"/>
        </w:tabs>
        <w:rPr>
          <w:color w:val="auto"/>
          <w:lang w:val="ru-RU"/>
        </w:rPr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020"/>
        <w:ind w:left="0" w:firstLine="851"/>
        <w:jc w:val="both"/>
        <w:spacing w:line="276" w:lineRule="auto"/>
        <w:tabs>
          <w:tab w:val="left" w:pos="851" w:leader="none"/>
          <w:tab w:val="left" w:pos="1560" w:leader="none"/>
        </w:tabs>
        <w:rPr>
          <w:spacing w:val="-6"/>
          <w:lang w:eastAsia="en-US"/>
        </w:rPr>
      </w:pPr>
      <w:r>
        <w:rPr>
          <w:spacing w:val="-6"/>
          <w:lang w:eastAsia="en-US"/>
        </w:rPr>
        <w:t xml:space="preserve">«Акт КС-2», «Справка КС-3» – документы, офо</w:t>
      </w:r>
      <w:r>
        <w:rPr>
          <w:spacing w:val="-6"/>
          <w:lang w:eastAsia="en-US"/>
        </w:rPr>
        <w:t xml:space="preserve">рмляемые по унифицированным формам №№ КС-2 «Акт о приемке выполненных работ» (Приложение № к  7 к Договору) и КС-3 «Справка о стоимости выполненных работ и затрат» (Приложение № 8 к Договору), утвержденным постановлением Госкомстата РФ от 11.11.1999 № 100.</w:t>
      </w:r>
      <w:r>
        <w:rPr>
          <w:spacing w:val="-6"/>
          <w:lang w:eastAsia="en-US"/>
        </w:rPr>
      </w:r>
      <w:r>
        <w:rPr>
          <w:spacing w:val="-6"/>
          <w:lang w:eastAsia="en-US"/>
        </w:rPr>
      </w:r>
    </w:p>
    <w:p>
      <w:pPr>
        <w:contextualSpacing/>
        <w:ind w:firstLine="851"/>
        <w:spacing w:line="276" w:lineRule="auto"/>
        <w:tabs>
          <w:tab w:val="left" w:pos="851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4"/>
          <w:szCs w:val="24"/>
        </w:rPr>
        <w:t xml:space="preserve">кт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pacing w:val="-2"/>
          <w:lang w:eastAsia="en-US"/>
        </w:rPr>
      </w:pPr>
      <w:r>
        <w:rPr>
          <w:lang w:eastAsia="en-US"/>
        </w:rPr>
        <w:t xml:space="preserve"> </w:t>
      </w:r>
      <w:r>
        <w:rPr>
          <w:spacing w:val="-2"/>
          <w:lang w:eastAsia="en-US"/>
        </w:rPr>
        <w:t xml:space="preserve">«Гарантийный срок»</w:t>
      </w:r>
      <w:r>
        <w:rPr>
          <w:spacing w:val="-2"/>
        </w:rPr>
        <w:t xml:space="preserve"> </w:t>
      </w:r>
      <w:r>
        <w:rPr>
          <w:spacing w:val="-2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spacing w:val="-2"/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pacing w:val="-2"/>
          <w:lang w:eastAsia="en-US"/>
        </w:rPr>
      </w:r>
      <w:r>
        <w:rPr>
          <w:spacing w:val="-2"/>
          <w:lang w:eastAsia="en-US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pacing w:val="-2"/>
          <w:lang w:eastAsia="en-US"/>
        </w:rPr>
      </w:pPr>
      <w:r>
        <w:rPr>
          <w:spacing w:val="-2"/>
          <w:lang w:eastAsia="en-US"/>
        </w:rPr>
        <w:t xml:space="preserve"> 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pacing w:val="-2"/>
          <w:lang w:eastAsia="en-US"/>
        </w:rPr>
      </w:r>
      <w:r>
        <w:rPr>
          <w:spacing w:val="-2"/>
          <w:lang w:eastAsia="en-US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lang w:eastAsia="en-US"/>
        </w:rPr>
      </w:pPr>
      <w:r>
        <w:rPr>
          <w:lang w:eastAsia="en-US"/>
        </w:rPr>
        <w:t xml:space="preserve">«Исполнительн</w:t>
      </w:r>
      <w:bookmarkStart w:id="1" w:name="OCRUncertain148"/>
      <w:r>
        <w:rPr>
          <w:lang w:eastAsia="en-US"/>
        </w:rPr>
        <w:t xml:space="preserve">а</w:t>
      </w:r>
      <w:bookmarkEnd w:id="1"/>
      <w:r>
        <w:rPr>
          <w:lang w:eastAsia="en-US"/>
        </w:rPr>
        <w:t xml:space="preserve">я док</w:t>
      </w:r>
      <w:bookmarkStart w:id="2" w:name="OCRUncertain149"/>
      <w:r>
        <w:rPr>
          <w:lang w:eastAsia="en-US"/>
        </w:rPr>
        <w:t xml:space="preserve">у</w:t>
      </w:r>
      <w:bookmarkEnd w:id="2"/>
      <w:r>
        <w:rPr>
          <w:lang w:eastAsia="en-US"/>
        </w:rPr>
        <w:t xml:space="preserve">м</w:t>
      </w:r>
      <w:bookmarkStart w:id="3" w:name="OCRUncertain150"/>
      <w:r>
        <w:rPr>
          <w:lang w:eastAsia="en-US"/>
        </w:rPr>
        <w:t xml:space="preserve">е</w:t>
      </w:r>
      <w:bookmarkEnd w:id="3"/>
      <w:r>
        <w:rPr>
          <w:lang w:eastAsia="en-US"/>
        </w:rPr>
        <w:t xml:space="preserve">нтац</w:t>
      </w:r>
      <w:bookmarkStart w:id="4" w:name="OCRUncertain151"/>
      <w:r>
        <w:rPr>
          <w:lang w:eastAsia="en-US"/>
        </w:rPr>
        <w:t xml:space="preserve">и</w:t>
      </w:r>
      <w:bookmarkEnd w:id="4"/>
      <w:r>
        <w:rPr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lang w:eastAsia="en-US"/>
        </w:rPr>
      </w:pPr>
      <w:r>
        <w:rPr>
          <w:lang w:eastAsia="en-US"/>
        </w:rPr>
        <w:t xml:space="preserve">К Исполнительной документации относятся:</w:t>
      </w:r>
      <w:r>
        <w:t xml:space="preserve"> </w:t>
      </w:r>
      <w:r>
        <w:rPr>
          <w:lang w:eastAsia="en-US"/>
        </w:rPr>
        <w:tab/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-общий журнал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-акт освидетельствования скрытых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-уточненная ведомость объёма ремонтно-строительных работ;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-сертификаты, подтверждающие качество и соответствие требованиям конструкторской и нормативно-технической документации материалов (форма завода –изготовителя);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contextualSpacing/>
        <w:ind w:firstLine="709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-счета-фактуры на материалы, закупаемые Подрядчиком для использования в процессе ремонта;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lang w:eastAsia="en-US"/>
        </w:rPr>
      </w:pPr>
      <w:r>
        <w:rPr>
          <w:lang w:eastAsia="en-US"/>
        </w:rPr>
        <w:t xml:space="preserve">«Коммерческая тайн</w:t>
      </w:r>
      <w:r>
        <w:rPr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highlight w:val="white"/>
        </w:rPr>
      </w:pPr>
      <w:r>
        <w:rPr>
          <w:lang w:eastAsia="en-US"/>
        </w:rPr>
        <w:t xml:space="preserve">«Лимит на непредвиденные работы и затраты»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</w:t>
      </w:r>
      <w:r>
        <w:rPr>
          <w:lang w:eastAsia="en-US"/>
        </w:rPr>
        <w:t xml:space="preserve">дефектации</w:t>
      </w:r>
      <w:r>
        <w:rPr>
          <w:lang w:eastAsia="en-US"/>
        </w:rPr>
        <w:t xml:space="preserve"> </w:t>
      </w:r>
      <w:r>
        <w:rPr>
          <w:highlight w:val="white"/>
          <w:lang w:eastAsia="en-US"/>
        </w:rPr>
        <w:t xml:space="preserve">зданий и сооружений.</w:t>
      </w:r>
      <w:r>
        <w:rPr>
          <w:highlight w:val="white"/>
        </w:rPr>
      </w:r>
      <w:r>
        <w:rPr>
          <w:highlight w:val="white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lang w:eastAsia="en-US"/>
        </w:rPr>
      </w:pPr>
      <w:r>
        <w:rPr>
          <w:lang w:eastAsia="en-US"/>
        </w:rPr>
        <w:t xml:space="preserve">«Материально-технические рес</w:t>
      </w:r>
      <w:r>
        <w:rPr>
          <w:lang w:eastAsia="en-US"/>
        </w:rPr>
        <w:t xml:space="preserve">урсы» – всевозможные материалы,</w:t>
      </w:r>
      <w:r>
        <w:rPr>
          <w:lang w:eastAsia="en-US"/>
        </w:rPr>
        <w:t xml:space="preserve">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«Объект» –</w:t>
      </w:r>
      <w:r>
        <w:rPr>
          <w:highlight w:val="white"/>
          <w:lang w:eastAsia="en-US"/>
        </w:rPr>
        <w:t xml:space="preserve">железнодорожные пути к топливоподачи Инв. № 00000000000000008512.</w:t>
      </w:r>
      <w:r>
        <w:rPr>
          <w:highlight w:val="white"/>
        </w:rPr>
      </w:r>
      <w:r>
        <w:rPr>
          <w:highlight w:val="white"/>
        </w:rPr>
      </w:r>
    </w:p>
    <w:p>
      <w:pPr>
        <w:pStyle w:val="1020"/>
        <w:ind w:left="0" w:firstLine="851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851" w:leader="none"/>
          <w:tab w:val="left" w:pos="1134" w:leader="none"/>
          <w:tab w:val="left" w:pos="1560" w:leader="none"/>
        </w:tabs>
        <w:rPr>
          <w:spacing w:val="-10"/>
          <w:lang w:eastAsia="en-US"/>
        </w:rPr>
      </w:pPr>
      <w:r>
        <w:rPr>
          <w:spacing w:val="-10"/>
          <w:lang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pacing w:val="-10"/>
          <w:lang w:eastAsia="en-US"/>
        </w:rPr>
      </w:r>
      <w:r>
        <w:rPr>
          <w:spacing w:val="-10"/>
          <w:lang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«Применимое право»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</w:t>
      </w:r>
      <w:r>
        <w:rPr>
          <w:b w:val="0"/>
          <w:sz w:val="24"/>
          <w:szCs w:val="24"/>
          <w:lang w:val="ru-RU" w:eastAsia="en-US"/>
        </w:rPr>
        <w:t xml:space="preserve">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</w:t>
      </w:r>
      <w:r>
        <w:rPr>
          <w:b w:val="0"/>
          <w:sz w:val="24"/>
          <w:szCs w:val="24"/>
          <w:lang w:val="ru-RU" w:eastAsia="en-US"/>
        </w:rPr>
        <w:t xml:space="preserve">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 и Объекту.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20"/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 w:val="0"/>
          <w:bCs w:val="0"/>
          <w:lang w:eastAsia="en-US"/>
        </w:rPr>
        <w:t xml:space="preserve">«Приемо-сдаточная документация»</w:t>
      </w:r>
      <w:r>
        <w:rPr>
          <w:b w:val="0"/>
          <w:bCs w:val="0"/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документация, оформляемая Подрядчиком </w:t>
      </w:r>
      <w:r>
        <w:rPr>
          <w:lang w:eastAsia="en-US"/>
        </w:rPr>
        <w:t xml:space="preserve">при завершении</w:t>
      </w:r>
      <w:r>
        <w:rPr>
          <w:lang w:eastAsia="en-US"/>
        </w:rPr>
        <w:t xml:space="preserve"> выполнения Работ по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</w:t>
      </w:r>
      <w:r>
        <w:rPr>
          <w:lang w:eastAsia="en-US"/>
        </w:rPr>
        <w:t xml:space="preserve">П</w:t>
      </w:r>
      <w:r>
        <w:rPr>
          <w:lang w:eastAsia="en-US"/>
        </w:rPr>
        <w:t xml:space="preserve">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numPr>
          <w:ilvl w:val="0"/>
          <w:numId w:val="49"/>
        </w:numPr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850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numPr>
          <w:ilvl w:val="0"/>
          <w:numId w:val="49"/>
        </w:numPr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850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ьно-технических ресурсов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numPr>
          <w:ilvl w:val="0"/>
          <w:numId w:val="49"/>
        </w:numPr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850" w:leader="none"/>
        </w:tabs>
        <w:rPr>
          <w:lang w:eastAsia="en-US"/>
        </w:rPr>
      </w:pPr>
      <w:r>
        <w:rPr>
          <w:lang w:eastAsia="en-US"/>
        </w:rPr>
        <w:t xml:space="preserve">Пофамильные списки персонала, задействованного при производстве Работ</w:t>
      </w:r>
      <w:r>
        <w:rPr>
          <w:lang w:eastAsia="en-US"/>
        </w:rPr>
        <w:t xml:space="preserve">, а также к</w:t>
      </w:r>
      <w:r>
        <w:rPr>
          <w:lang w:eastAsia="en-US"/>
        </w:rPr>
        <w:t xml:space="preserve">опии всех документов, подтверждающих </w:t>
      </w:r>
      <w:r>
        <w:rPr>
          <w:lang w:eastAsia="en-US"/>
        </w:rPr>
        <w:t xml:space="preserve">его </w:t>
      </w:r>
      <w:r>
        <w:rPr>
          <w:lang w:eastAsia="en-US"/>
        </w:rPr>
        <w:t xml:space="preserve">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left="0" w:right="0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val="ru-RU" w:eastAsia="en-US"/>
        </w:rPr>
        <w:t xml:space="preserve"> «Работы» – все производимые / выполняемые Подря</w:t>
      </w:r>
      <w:r>
        <w:rPr>
          <w:b w:val="0"/>
          <w:sz w:val="24"/>
          <w:szCs w:val="24"/>
          <w:lang w:val="ru-RU" w:eastAsia="en-US"/>
        </w:rPr>
        <w:t xml:space="preserve">дчиком на свой риск, с использованием своих и / или привлеченных за свой счет сил и средств (Материально-технических ресурсов, инструмента), в соответствии с условиями Договора и Применимым правом работы, в том числе ремонтные работы, работы по исправлению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 </w:t>
      </w:r>
      <w:r>
        <w:rPr>
          <w:b w:val="0"/>
          <w:sz w:val="24"/>
          <w:szCs w:val="24"/>
          <w:lang w:eastAsia="ru-RU"/>
        </w:rPr>
        <w:t xml:space="preserve">недостатков,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eastAsia="ru-RU"/>
        </w:rPr>
        <w:t xml:space="preserve">результа</w:t>
      </w:r>
      <w:r>
        <w:rPr>
          <w:b w:val="0"/>
          <w:sz w:val="24"/>
          <w:szCs w:val="24"/>
          <w:lang w:val="ru-RU" w:eastAsia="ru-RU"/>
        </w:rPr>
        <w:t xml:space="preserve">те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 </w:t>
      </w:r>
      <w:r>
        <w:rPr>
          <w:b w:val="0"/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b w:val="0"/>
          <w:sz w:val="24"/>
          <w:szCs w:val="24"/>
          <w:lang w:eastAsia="ru-RU"/>
        </w:rPr>
      </w:r>
      <w:r>
        <w:rPr>
          <w:b w:val="0"/>
          <w:sz w:val="24"/>
          <w:szCs w:val="24"/>
          <w:lang w:eastAsia="ru-RU"/>
        </w:rPr>
      </w:r>
    </w:p>
    <w:p>
      <w:pPr>
        <w:contextualSpacing/>
        <w:ind w:firstLine="851"/>
        <w:spacing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ind w:firstLine="850"/>
        <w:spacing w:line="271" w:lineRule="auto"/>
      </w:pPr>
      <w:r>
        <w:rPr>
          <w:sz w:val="24"/>
          <w:szCs w:val="24"/>
        </w:rPr>
        <w:t xml:space="preserve">«Ремонтная площадка» – предоставляемое Подрядчику по наряду-допуску либо распоряжению рабочая зона, либо рабочее место для выполнения Работ.</w:t>
      </w:r>
      <w:r/>
    </w:p>
    <w:p>
      <w:pPr>
        <w:pStyle w:val="100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rFonts w:eastAsiaTheme="minorHAnsi"/>
          <w:b w:val="0"/>
          <w:bCs/>
          <w:sz w:val="24"/>
          <w:szCs w:val="24"/>
          <w:lang w:val="ru-RU" w:eastAsia="en-US"/>
        </w:rPr>
      </w:pPr>
      <w:r>
        <w:rPr>
          <w:b w:val="0"/>
          <w:bCs w:val="0"/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.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</w:r>
      <w:r>
        <w:rPr>
          <w:rFonts w:eastAsiaTheme="minorHAnsi"/>
          <w:b w:val="0"/>
          <w:bCs/>
          <w:sz w:val="24"/>
          <w:szCs w:val="24"/>
          <w:lang w:val="ru-RU" w:eastAsia="en-US"/>
        </w:rPr>
      </w:r>
    </w:p>
    <w:p>
      <w:pPr>
        <w:contextualSpacing/>
        <w:ind w:firstLine="851"/>
        <w:spacing w:line="276" w:lineRule="auto"/>
        <w:tabs>
          <w:tab w:val="left" w:pos="851" w:leader="none"/>
          <w:tab w:val="left" w:pos="156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«Субъект СМП»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«Техническое задание» – документ, содержащий условия выполнения работ, требования к качеству, безопасности и результатов выполняемых работ, объем и состав Работ по Договору, ведомость объе</w:t>
      </w:r>
      <w:r>
        <w:rPr>
          <w:b w:val="0"/>
          <w:sz w:val="24"/>
          <w:szCs w:val="24"/>
          <w:lang w:val="ru-RU" w:eastAsia="en-US"/>
        </w:rPr>
        <w:t xml:space="preserve">мов работ, ведомость материалов.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0"/>
        <w:contextualSpacing/>
        <w:ind w:firstLine="851"/>
        <w:jc w:val="both"/>
        <w:keepNext w:val="0"/>
        <w:spacing w:before="0" w:after="0" w:line="276" w:lineRule="auto"/>
        <w:widowControl w:val="off"/>
        <w:tabs>
          <w:tab w:val="left" w:pos="567" w:leader="none"/>
          <w:tab w:val="left" w:pos="851" w:leader="none"/>
          <w:tab w:val="left" w:pos="1560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</w:r>
      <w:r>
        <w:rPr>
          <w:b w:val="0"/>
          <w:bCs w:val="0"/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0"/>
        <w:numPr>
          <w:ilvl w:val="0"/>
          <w:numId w:val="3"/>
        </w:numPr>
        <w:ind w:left="426" w:hanging="283"/>
        <w:jc w:val="center"/>
        <w:spacing w:line="276" w:lineRule="auto"/>
        <w:shd w:val="clear" w:color="auto" w:fill="ffffff"/>
        <w:tabs>
          <w:tab w:val="left" w:pos="142" w:leader="none"/>
          <w:tab w:val="left" w:pos="1134" w:leader="none"/>
          <w:tab w:val="left" w:pos="1560" w:leader="none"/>
        </w:tabs>
      </w:pPr>
      <w:r>
        <w:t xml:space="preserve">П</w:t>
      </w:r>
      <w:r>
        <w:t xml:space="preserve">редмет Договора</w:t>
      </w:r>
      <w:bookmarkStart w:id="5" w:name="_Ref361410951"/>
      <w:r/>
      <w:r/>
    </w:p>
    <w:p>
      <w:pPr>
        <w:pStyle w:val="1020"/>
        <w:ind w:left="851"/>
        <w:spacing w:line="276" w:lineRule="auto"/>
        <w:shd w:val="clear" w:color="auto" w:fill="ffffff"/>
        <w:tabs>
          <w:tab w:val="left" w:pos="284" w:leader="none"/>
          <w:tab w:val="left" w:pos="851" w:leader="none"/>
          <w:tab w:val="left" w:pos="1560" w:leader="none"/>
        </w:tabs>
      </w:pPr>
      <w:r/>
      <w:bookmarkEnd w:id="5"/>
      <w:r/>
      <w:r/>
    </w:p>
    <w:p>
      <w:pPr>
        <w:pStyle w:val="1020"/>
        <w:numPr>
          <w:ilvl w:val="1"/>
          <w:numId w:val="3"/>
        </w:numPr>
        <w:ind w:left="0" w:firstLine="851"/>
        <w:jc w:val="both"/>
        <w:spacing w:line="276" w:lineRule="auto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Подрядчик обязуется в соответствии с Техническим заданием (Приложение № 1 к</w:t>
      </w:r>
      <w:r>
        <w:t xml:space="preserve"> Договору) 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ыполнить работы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по ремонту железнодорожных путей Амурской ТЭЦ-1, </w:t>
      </w:r>
      <w:r>
        <w:t xml:space="preserve">(далее Работы)</w:t>
      </w:r>
      <w:r>
        <w:t xml:space="preserve">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r/>
    </w:p>
    <w:p>
      <w:pPr>
        <w:ind w:firstLine="709"/>
        <w:spacing w:line="276" w:lineRule="auto"/>
        <w:tabs>
          <w:tab w:val="left" w:pos="1134" w:leader="none"/>
        </w:tabs>
        <w:rPr>
          <w:i/>
          <w:sz w:val="24"/>
          <w:szCs w:val="24"/>
          <w:highlight w:val="lightGray"/>
        </w:rPr>
      </w:pPr>
      <w:r>
        <w:rPr>
          <w:sz w:val="24"/>
          <w:szCs w:val="24"/>
        </w:rPr>
        <w:t xml:space="preserve"> 1.2. Объем Работ по Договору определяется в соответствии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</w:t>
      </w:r>
      <w:r>
        <w:rPr>
          <w:bCs/>
          <w:sz w:val="24"/>
          <w:szCs w:val="24"/>
          <w:highlight w:val="white"/>
        </w:rPr>
        <w:t xml:space="preserve">Ведомостью объёмов работ (Приложение № 1.1 к Техническому заданию)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Работы по</w:t>
      </w:r>
      <w:r>
        <w:rPr>
          <w:sz w:val="24"/>
          <w:szCs w:val="24"/>
        </w:rPr>
        <w:t xml:space="preserve">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i/>
          <w:sz w:val="24"/>
          <w:szCs w:val="24"/>
          <w:highlight w:val="lightGray"/>
        </w:rPr>
      </w:r>
      <w:r>
        <w:rPr>
          <w:i/>
          <w:sz w:val="24"/>
          <w:szCs w:val="24"/>
          <w:highlight w:val="lightGray"/>
        </w:rPr>
      </w:r>
    </w:p>
    <w:p>
      <w:pPr>
        <w:ind w:firstLine="709"/>
        <w:spacing w:line="276" w:lineRule="auto"/>
        <w:shd w:val="clear" w:color="auto" w:fill="ffffff"/>
        <w:tabs>
          <w:tab w:val="left" w:pos="426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1.3. Работы по Договору выполняются для нужд </w:t>
      </w:r>
      <w:r>
        <w:rPr>
          <w:bCs/>
          <w:sz w:val="24"/>
          <w:szCs w:val="24"/>
        </w:rPr>
        <w:t xml:space="preserve">структурного подразделения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Заказчика «</w:t>
      </w:r>
      <w:r>
        <w:rPr>
          <w:sz w:val="24"/>
          <w:szCs w:val="24"/>
        </w:rPr>
        <w:t xml:space="preserve">Амурская ТЭЦ-1»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142" w:leader="none"/>
          <w:tab w:val="left" w:pos="284" w:leader="none"/>
          <w:tab w:val="left" w:pos="426" w:leader="none"/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1.4. Место выполнения работ: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Амурск, Западное </w:t>
      </w:r>
      <w:r>
        <w:rPr>
          <w:sz w:val="24"/>
          <w:szCs w:val="24"/>
        </w:rPr>
        <w:t xml:space="preserve">шоссе 10, территория «Амурской ТЭЦ-1»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426" w:leader="none"/>
          <w:tab w:val="left" w:pos="1134" w:leader="none"/>
        </w:tabs>
        <w:rPr>
          <w:sz w:val="24"/>
          <w:szCs w:val="24"/>
        </w:rPr>
      </w:pPr>
      <w:r/>
      <w:bookmarkStart w:id="6" w:name="_Ref361320424"/>
      <w:r>
        <w:rPr>
          <w:sz w:val="24"/>
          <w:szCs w:val="24"/>
        </w:rPr>
        <w:t xml:space="preserve">1.5. Работы выполняются Подрядчиком в следующие сроки: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1.5.1. начало выполнения Работ: 12.05.2026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1.5.2. око</w:t>
      </w:r>
      <w:r>
        <w:rPr>
          <w:sz w:val="24"/>
          <w:szCs w:val="24"/>
        </w:rPr>
        <w:t xml:space="preserve">нчание выполнения Работ: 31.12.2026.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widowControl w:val="off"/>
        <w:tabs>
          <w:tab w:val="left" w:pos="426" w:leader="none"/>
          <w:tab w:val="left" w:pos="54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1.5.3. </w:t>
      </w:r>
      <w:r>
        <w:rPr>
          <w:sz w:val="24"/>
          <w:szCs w:val="24"/>
        </w:rPr>
        <w:t xml:space="preserve">Работы выполняются </w:t>
      </w:r>
      <w:r>
        <w:rPr>
          <w:sz w:val="24"/>
          <w:szCs w:val="24"/>
        </w:rPr>
        <w:t xml:space="preserve">сог</w:t>
      </w:r>
      <w:r>
        <w:rPr>
          <w:sz w:val="24"/>
          <w:szCs w:val="24"/>
        </w:rPr>
        <w:t xml:space="preserve">ласно графика производства работ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10</w:t>
      </w:r>
      <w:r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76" w:lineRule="auto"/>
        <w:shd w:val="clear" w:color="auto" w:fill="ffffff"/>
        <w:widowControl w:val="off"/>
        <w:tabs>
          <w:tab w:val="left" w:pos="426" w:leader="none"/>
          <w:tab w:val="left" w:pos="54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17"/>
        </w:numPr>
        <w:ind w:left="3402" w:hanging="3402"/>
        <w:jc w:val="center"/>
        <w:spacing w:line="276" w:lineRule="auto"/>
        <w:shd w:val="clear" w:color="auto" w:fill="ffffff"/>
        <w:tabs>
          <w:tab w:val="left" w:pos="284" w:leader="none"/>
          <w:tab w:val="left" w:pos="3261" w:leader="none"/>
          <w:tab w:val="left" w:pos="3969" w:leader="none"/>
        </w:tabs>
      </w:pPr>
      <w:r>
        <w:t xml:space="preserve">Права и обязанности Сторон</w:t>
      </w:r>
      <w:r/>
    </w:p>
    <w:p>
      <w:pPr>
        <w:pStyle w:val="1020"/>
        <w:ind w:left="360"/>
        <w:spacing w:line="276" w:lineRule="auto"/>
        <w:shd w:val="clear" w:color="auto" w:fill="ffffff"/>
        <w:tabs>
          <w:tab w:val="left" w:pos="284" w:leader="none"/>
        </w:tabs>
      </w:pPr>
      <w:r/>
      <w:r/>
    </w:p>
    <w:p>
      <w:pPr>
        <w:pStyle w:val="1020"/>
        <w:numPr>
          <w:ilvl w:val="1"/>
          <w:numId w:val="17"/>
        </w:numPr>
        <w:ind w:hanging="21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1276" w:leader="none"/>
        </w:tabs>
      </w:pPr>
      <w:r/>
      <w:bookmarkStart w:id="7" w:name="_Ref361401696"/>
      <w:r/>
      <w:bookmarkStart w:id="8" w:name="_Ref361320734"/>
      <w:r/>
      <w:bookmarkStart w:id="9" w:name="_Ref361396847"/>
      <w:r>
        <w:t xml:space="preserve">В течение 3 (трех) рабочих дней с даты получения соответствующего письменного запроса Подрядчика, передать (предоставить) последнему:</w:t>
      </w:r>
      <w:r/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1418" w:leader="none"/>
        </w:tabs>
      </w:pPr>
      <w:r>
        <w:t xml:space="preserve">-место для складирования </w:t>
      </w:r>
      <w:r>
        <w:t xml:space="preserve">материально-технических ресурсов по соответствующим актам сдачи-приемки, (Приложение </w:t>
      </w:r>
      <w:r>
        <w:t xml:space="preserve">№3</w:t>
      </w:r>
      <w:r>
        <w:t xml:space="preserve"> к договору);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1418" w:leader="none"/>
        </w:tabs>
      </w:pPr>
      <w:r>
        <w:t xml:space="preserve">- техническую и иную документацию, указанную в Техническом задании (Приложение №1 к Договору), содержащую исходные данные для выполнения Подрядчиком Работ по Договору, по Акту сдачи-приемки технической и иной документации (</w:t>
      </w:r>
      <w:r>
        <w:t xml:space="preserve">Приложение № </w:t>
      </w:r>
      <w:r>
        <w:t xml:space="preserve">3.</w:t>
      </w:r>
      <w:r>
        <w:t xml:space="preserve">1</w:t>
      </w:r>
      <w:r>
        <w:t xml:space="preserve"> к </w:t>
      </w:r>
      <w:r>
        <w:t xml:space="preserve">договору)</w:t>
      </w:r>
      <w:bookmarkEnd w:id="7"/>
      <w:r/>
      <w:bookmarkEnd w:id="8"/>
      <w:r/>
      <w:bookmarkEnd w:id="9"/>
      <w:r/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При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 для целей выполнения Работ по Договору</w:t>
      </w:r>
      <w:bookmarkStart w:id="10" w:name="_Ref361334549"/>
      <w:r>
        <w:t xml:space="preserve">.</w:t>
      </w:r>
      <w:bookmarkEnd w:id="10"/>
      <w:r>
        <w:t xml:space="preserve"> </w:t>
      </w:r>
      <w:r>
        <w:rPr>
          <w:highlight w:val="none"/>
        </w:rPr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t xml:space="preserve">внутриобъектового</w:t>
      </w:r>
      <w:r>
        <w:t xml:space="preserve"> режима Заказчика.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284" w:leader="none"/>
          <w:tab w:val="left" w:pos="1134" w:leader="none"/>
          <w:tab w:val="left" w:pos="1276" w:leader="none"/>
        </w:tabs>
      </w:pPr>
      <w: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tabs>
          <w:tab w:val="left" w:pos="284" w:leader="none"/>
          <w:tab w:val="left" w:pos="993" w:leader="none"/>
          <w:tab w:val="left" w:pos="1276" w:leader="none"/>
          <w:tab w:val="left" w:pos="1560" w:leader="none"/>
        </w:tabs>
      </w:pPr>
      <w:r>
        <w:t xml:space="preserve">Производить освидетельствование (приемку) Скрытых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284" w:leader="none"/>
          <w:tab w:val="left" w:pos="426" w:leader="none"/>
          <w:tab w:val="left" w:pos="1276" w:leader="none"/>
        </w:tabs>
      </w:pPr>
      <w:r>
        <w:t xml:space="preserve">Выполнять иные обязанности, предусмотренные Договором.</w:t>
      </w:r>
      <w:r/>
    </w:p>
    <w:p>
      <w:pPr>
        <w:pStyle w:val="1020"/>
        <w:numPr>
          <w:ilvl w:val="1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имеет право</w:t>
      </w:r>
      <w:r>
        <w:t xml:space="preserve">: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Самостоятельно или с привлечением третьих лиц осуществлять контроль и надзор за ходом и качеством выполняемых Подрядчиком и Субподря</w:t>
      </w:r>
      <w:r>
        <w:t xml:space="preserve">дчиками по Договору ремонтных Работ, за соблюдением сроков и качества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Пр</w:t>
      </w:r>
      <w:r>
        <w:t xml:space="preserve">едоставить помещение для персонала при наличии такой возможности, при её отсутствии, подрядчик обязан самостоятельно обеспечить себе размещение персонала на территории Заказчика своими силами, и за свой счёт. 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</w:t>
      </w:r>
      <w:r>
        <w:t xml:space="preserve">.</w:t>
      </w:r>
      <w:r>
        <w:t xml:space="preserve"> О</w:t>
      </w:r>
      <w:r>
        <w:t xml:space="preserve">существлять осмотр такого помещения по первому требованию и в присутствии представителя Подрядчика.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/>
      <w:bookmarkStart w:id="12" w:name="_Ref361334652"/>
      <w: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</w:t>
      </w:r>
      <w:r>
        <w:t xml:space="preserve">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Применимого права, до устранения таких нарушени</w:t>
      </w:r>
      <w: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2"/>
      <w:r>
        <w:t xml:space="preserve">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/>
      <w:bookmarkStart w:id="13" w:name="_Ref361334468"/>
      <w:r>
        <w:t xml:space="preserve">Изымать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</w:t>
      </w:r>
      <w:r>
        <w:t xml:space="preserve">внутриобъектового</w:t>
      </w:r>
      <w:r>
        <w:t xml:space="preserve"> режима, требований охраны труда, пожарной </w:t>
      </w:r>
      <w:r>
        <w:t xml:space="preserve">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3"/>
      <w:r/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rPr>
          <w:bCs/>
        </w:rPr>
        <w:t xml:space="preserve">Вносить изменения в номенклатуру</w:t>
      </w:r>
      <w:r>
        <w:t xml:space="preserve"> и объем работ (увеличить и/ или уменьшить) по Договору, </w:t>
      </w:r>
      <w:r>
        <w:rPr>
          <w:bCs/>
        </w:rPr>
        <w:t xml:space="preserve">при условии, если вызываемые этим дополнительные работы не меняют характера предусмотренных в Договоре Работ таким образом, что выполнение указ</w:t>
      </w:r>
      <w:r>
        <w:rPr>
          <w:bCs/>
        </w:rPr>
        <w:t xml:space="preserve">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after="80" w:line="276" w:lineRule="auto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 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 </w:t>
      </w:r>
      <w:r>
        <w:rPr>
          <w:bCs/>
        </w:rPr>
      </w:r>
      <w:r>
        <w:rPr>
          <w:bCs/>
        </w:rPr>
      </w:r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Требовать от Подрядчика представления информации и пояснений о ходе </w:t>
      </w:r>
      <w: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/>
    </w:p>
    <w:p>
      <w:pPr>
        <w:pStyle w:val="1020"/>
        <w:numPr>
          <w:ilvl w:val="1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Подрядчик обязан</w:t>
      </w:r>
      <w:r>
        <w:t xml:space="preserve">: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Выполнить Работы в объеме, сроки и с качеством, соответствующим требованиям Договора и Применимого права и сдать их результат Заказчику.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 </w:t>
      </w:r>
      <w:r>
        <w:t xml:space="preserve">В срок, указанный в пункте </w:t>
      </w:r>
      <w:r>
        <w:t xml:space="preserve">2.1.2</w:t>
      </w:r>
      <w:r>
        <w:t xml:space="preserve"> Договора, принять от Заказчика на время выполнения Работ по Договору</w:t>
      </w:r>
      <w:r>
        <w:t xml:space="preserve"> </w:t>
      </w:r>
      <w:r>
        <w:t xml:space="preserve">место (помещение) для складирования </w:t>
      </w:r>
      <w:r>
        <w:t xml:space="preserve">Материально-технических ресурсов </w:t>
      </w:r>
      <w:r>
        <w:t xml:space="preserve">по соответствующим актам сдачи-приемки (Приложение № 3 к договору), а также принять техническую и иную документацию, указанную в пункте 2.1.2.</w:t>
      </w:r>
      <w:r>
        <w:t xml:space="preserve"> (Приложение № 3.1</w:t>
      </w:r>
      <w:r>
        <w:t xml:space="preserve"> к договору)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При приемке места производства Работ,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</w:t>
      </w:r>
      <w:r>
        <w:t xml:space="preserve">териально-технических ресурсов</w:t>
      </w:r>
      <w:r>
        <w:t xml:space="preserve">.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местам.</w:t>
      </w:r>
      <w:r/>
    </w:p>
    <w:p>
      <w:pPr>
        <w:pStyle w:val="1020"/>
        <w:numPr>
          <w:ilvl w:val="2"/>
          <w:numId w:val="17"/>
        </w:numPr>
        <w:ind w:left="0" w:firstLine="851"/>
        <w:jc w:val="both"/>
        <w:spacing w:line="276" w:lineRule="auto"/>
        <w:tabs>
          <w:tab w:val="left" w:pos="1276" w:leader="none"/>
          <w:tab w:val="left" w:pos="1418" w:leader="none"/>
        </w:tabs>
      </w:pPr>
      <w:r>
        <w:t xml:space="preserve">  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</w:t>
      </w:r>
      <w:r>
        <w:t xml:space="preserve">й документации (Приложение № 3.</w:t>
      </w:r>
      <w:r>
        <w:t xml:space="preserve">1</w:t>
      </w:r>
      <w:r>
        <w:t xml:space="preserve">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До начала выполнения Работ предоставить Заказчику:</w:t>
      </w:r>
      <w:r/>
    </w:p>
    <w:p>
      <w:pPr>
        <w:pStyle w:val="1020"/>
        <w:numPr>
          <w:ilvl w:val="0"/>
          <w:numId w:val="11"/>
        </w:numPr>
        <w:ind w:left="0" w:firstLine="709"/>
        <w:jc w:val="both"/>
        <w:spacing w:line="276" w:lineRule="auto"/>
        <w:shd w:val="clear" w:color="auto" w:fill="ffffff"/>
        <w:tabs>
          <w:tab w:val="left" w:pos="993" w:leader="none"/>
          <w:tab w:val="left" w:pos="1418" w:leader="none"/>
        </w:tabs>
      </w:pPr>
      <w: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/>
    </w:p>
    <w:p>
      <w:pPr>
        <w:pStyle w:val="1020"/>
        <w:numPr>
          <w:ilvl w:val="0"/>
          <w:numId w:val="11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</w:tabs>
      </w:pPr>
      <w:r>
        <w:t xml:space="preserve">контакты и должность представителя Подрядчика, ответственного за соблюдение норм и правил в област</w:t>
      </w:r>
      <w:r>
        <w:t xml:space="preserve">и охраны труда, электробезопасности, пожарной и промышленной безопасности, природоохран</w:t>
      </w:r>
      <w:r>
        <w:t xml:space="preserve">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</w:pPr>
      <w:r>
        <w:t xml:space="preserve">Обеспечить сохранность переданных Заказчиком по соответствующим актам сдачи-приемки мест (помещений),</w:t>
      </w:r>
      <w:r>
        <w:t xml:space="preserve"> технической и иной документации,</w:t>
      </w:r>
      <w:r>
        <w:t xml:space="preserve">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прекращения (расторжения) Договора, указанных в разделе 1</w:t>
      </w:r>
      <w:r>
        <w:t xml:space="preserve">4</w:t>
      </w:r>
      <w:r>
        <w:t xml:space="preserve"> Договора, – не позднее 3 (трех) рабочих дней с даты получения соответствующего требования Заказчика. </w:t>
      </w:r>
      <w:r/>
    </w:p>
    <w:p>
      <w:pPr>
        <w:pStyle w:val="1020"/>
        <w:numPr>
          <w:ilvl w:val="2"/>
          <w:numId w:val="17"/>
        </w:numPr>
        <w:ind w:left="0" w:firstLine="709"/>
        <w:spacing w:line="276" w:lineRule="auto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1020"/>
        <w:ind w:left="0"/>
        <w:jc w:val="both"/>
        <w:spacing w:line="276" w:lineRule="auto"/>
        <w:shd w:val="clear" w:color="auto" w:fill="ffffff"/>
        <w:tabs>
          <w:tab w:val="left" w:pos="851" w:leader="none"/>
        </w:tabs>
      </w:pPr>
      <w:r>
        <w:tab/>
      </w: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обстоятельс</w:t>
      </w:r>
      <w:r>
        <w:t xml:space="preserve">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Договору, в том </w:t>
      </w:r>
      <w:r>
        <w:t xml:space="preserve">числе указанных в Приложении № 6</w:t>
      </w:r>
      <w:r>
        <w:t xml:space="preserve"> к Договору,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20"/>
        <w:ind w:left="0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</w:t>
      </w:r>
      <w:r>
        <w:t xml:space="preserve">1</w:t>
      </w:r>
      <w:r>
        <w:t xml:space="preserve">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Выполнять Работы силами</w:t>
      </w:r>
      <w:r>
        <w:t xml:space="preserve"> квалифицированных специалистов, </w:t>
      </w:r>
      <w:r>
        <w:t xml:space="preserve">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Обеспечить доставку, приемку, разгрузку, складирование и хранение прибывающих на </w:t>
      </w:r>
      <w:r>
        <w:t xml:space="preserve">место выполнения работ м</w:t>
      </w:r>
      <w:r>
        <w:t xml:space="preserve">атериально-технических ресурсов, необходимых для выполнения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Организовать контроль качества поступающих Матери</w:t>
      </w:r>
      <w:r>
        <w:t xml:space="preserve">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</w:t>
      </w:r>
      <w:r>
        <w:t xml:space="preserve">технических паспортов и иных документов должны быть предоставлены Заказчику до начала производства Работ. 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 случаях, установленных правилами пропускного и </w:t>
      </w:r>
      <w:r>
        <w:t xml:space="preserve">внутриобъектового</w:t>
      </w:r>
      <w:r>
        <w:t xml:space="preserve"> режима Заказчика, предварительно согласовать с Заказчиком </w:t>
      </w:r>
      <w:r>
        <w:t xml:space="preserve">пофамильные</w:t>
      </w:r>
      <w:r>
        <w:t xml:space="preserve"> списки персонала, задействованного при производстве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Обесп</w:t>
      </w:r>
      <w: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</w:t>
      </w:r>
      <w:r>
        <w:rPr>
          <w:bCs/>
        </w:rPr>
        <w:t xml:space="preserve">2</w:t>
      </w:r>
      <w:r>
        <w:rPr>
          <w:bCs/>
        </w:rPr>
        <w:t xml:space="preserve"> (</w:t>
      </w:r>
      <w:r>
        <w:rPr>
          <w:bCs/>
        </w:rPr>
        <w:t xml:space="preserve">двух</w:t>
      </w:r>
      <w:r>
        <w:rPr>
          <w:bCs/>
        </w:rPr>
        <w:t xml:space="preserve">) экземплярах. </w:t>
      </w:r>
      <w:r>
        <w:rPr>
          <w:bCs/>
        </w:rPr>
      </w:r>
      <w:r>
        <w:rPr>
          <w:bCs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  <w:r>
        <w:rPr>
          <w:bCs/>
        </w:rPr>
      </w:r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</w:pPr>
      <w: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/>
    </w:p>
    <w:p>
      <w:pPr>
        <w:pStyle w:val="1020"/>
        <w:numPr>
          <w:ilvl w:val="2"/>
          <w:numId w:val="17"/>
        </w:numPr>
        <w:ind w:left="0" w:firstLine="568"/>
        <w:jc w:val="both"/>
        <w:spacing w:line="276" w:lineRule="auto"/>
      </w:pPr>
      <w:r>
        <w:t xml:space="preserve">До даты сдачи Заказчику Результата Работ обеспечить уборку места выполнения Работ</w:t>
      </w:r>
      <w:r>
        <w:t xml:space="preserve">, в</w:t>
      </w:r>
      <w:r>
        <w:t xml:space="preserve">ывоз строительного мусора и отходов Подрядчика, образовавшихся в ходе выполнения Работ, в места утилизации.</w:t>
      </w:r>
      <w:r>
        <w:t xml:space="preserve"> 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highlight w:val="white"/>
        </w:rPr>
      </w:pPr>
      <w:r>
        <w:t xml:space="preserve">Передать За</w:t>
      </w:r>
      <w:r>
        <w:t xml:space="preserve">к</w:t>
      </w:r>
      <w:r>
        <w:t xml:space="preserve">азчику в полном объеме лом черных и цветных металлов, образовавшийся в ходе выполнения Работ по Акту об оприходовании материальных ценностей, оформленному по унифицированной форме № М-35, утвержденной Учётной политикой АО "ДГК" (При</w:t>
      </w:r>
      <w:r>
        <w:rPr>
          <w:highlight w:val="white"/>
        </w:rPr>
        <w:t xml:space="preserve">ложение № 9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Подрядчика. </w:t>
      </w:r>
      <w:r/>
    </w:p>
    <w:p>
      <w:pPr>
        <w:ind w:firstLine="709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случае, если такие указания могут привести к увеличению Цены Договора, Подрядчик </w:t>
      </w:r>
      <w:r>
        <w:rPr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</w:t>
      </w:r>
      <w:r>
        <w:rPr>
          <w:sz w:val="24"/>
          <w:szCs w:val="24"/>
        </w:rPr>
        <w:t xml:space="preserve">возможных негативных последствиях исполнения таких указаний в соответствии с пунктом 2.3.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</w:t>
      </w:r>
      <w:r>
        <w:rPr>
          <w:bCs/>
        </w:rPr>
        <w:t xml:space="preserve">учая, указанного в пункте 2.3.21</w:t>
      </w:r>
      <w:r>
        <w:rPr>
          <w:bCs/>
        </w:rPr>
        <w:t xml:space="preserve">.1 Договора. </w:t>
      </w:r>
      <w:r>
        <w:rPr>
          <w:bCs/>
        </w:rPr>
      </w:r>
      <w:r>
        <w:rPr>
          <w:bCs/>
        </w:rPr>
      </w:r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020"/>
        <w:numPr>
          <w:ilvl w:val="3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</w:pPr>
      <w:r>
        <w:t xml:space="preserve"> </w:t>
      </w:r>
      <w:r>
        <w:t xml:space="preserve">в</w:t>
      </w:r>
      <w:r>
        <w:t xml:space="preserve">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/>
    </w:p>
    <w:p>
      <w:pPr>
        <w:pStyle w:val="1020"/>
        <w:numPr>
          <w:ilvl w:val="3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</w:pPr>
      <w:r>
        <w:t xml:space="preserve"> </w:t>
      </w:r>
      <w:r>
        <w:t xml:space="preserve">отклонения</w:t>
      </w:r>
      <w: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1020"/>
        <w:numPr>
          <w:ilvl w:val="3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</w:pPr>
      <w:r>
        <w:t xml:space="preserve"> </w:t>
      </w:r>
      <w:r>
        <w:t xml:space="preserve">любых иных обстоятельств, угрожающих годности, </w:t>
      </w:r>
      <w: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ind w:firstLine="0"/>
        <w:spacing w:line="276" w:lineRule="auto"/>
        <w:shd w:val="clear" w:color="auto" w:fill="ffffff"/>
        <w:tabs>
          <w:tab w:val="left" w:pos="567" w:leader="none"/>
        </w:tabs>
        <w:rPr>
          <w:sz w:val="24"/>
          <w:szCs w:val="24"/>
        </w:rPr>
      </w:pPr>
      <w:r>
        <w:t xml:space="preserve">  </w:t>
      </w:r>
      <w:r>
        <w:tab/>
      </w:r>
      <w:r>
        <w:rPr>
          <w:sz w:val="24"/>
          <w:szCs w:val="24"/>
        </w:rPr>
        <w:t xml:space="preserve">Невыполнение Подрядчиком требований пункта 2.3.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аварии – в течение 2 (двух) часов;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020"/>
        <w:numPr>
          <w:ilvl w:val="0"/>
          <w:numId w:val="13"/>
        </w:numPr>
        <w:ind w:left="0" w:right="23" w:firstLine="709"/>
        <w:jc w:val="both"/>
        <w:spacing w:line="276" w:lineRule="auto"/>
        <w:tabs>
          <w:tab w:val="left" w:pos="851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мест (помещений),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(Приложение №</w:t>
      </w:r>
      <w:r>
        <w:t xml:space="preserve">№</w:t>
      </w:r>
      <w:r>
        <w:t xml:space="preserve"> 3</w:t>
      </w:r>
      <w:r>
        <w:t xml:space="preserve">, 3.1</w:t>
      </w:r>
      <w:r>
        <w:t xml:space="preserve"> к Договору).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20"/>
        <w:numPr>
          <w:ilvl w:val="2"/>
          <w:numId w:val="17"/>
        </w:numPr>
        <w:ind w:left="142" w:firstLine="709"/>
        <w:jc w:val="both"/>
        <w:spacing w:line="276" w:lineRule="auto"/>
        <w:shd w:val="clear" w:color="auto" w:fill="ffffff"/>
        <w:tabs>
          <w:tab w:val="left" w:pos="1418" w:leader="none"/>
          <w:tab w:val="left" w:pos="1560" w:leader="none"/>
        </w:tabs>
      </w:pPr>
      <w:r>
        <w:t xml:space="preserve">Письменно уведомлять Заказ</w:t>
      </w:r>
      <w:r>
        <w:t xml:space="preserve">чика о необходимости проведения освидетельство</w:t>
      </w:r>
      <w:r>
        <w:t xml:space="preserve">вания и/или приемки Скрытых работ. Указанное уведомление должно быть получено Заказчиком заблаговременно, но не позднее, чем за 5 (пять) рабочих дней до начала </w:t>
      </w:r>
      <w:r>
        <w:t xml:space="preserve">освидетельствования. В</w:t>
      </w:r>
      <w: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Осуществлять мероприятия строительного контроля, возложенные на Подрядчика Положением о проведении строительного контроля при осуществлении ремонтных работ.</w:t>
      </w:r>
      <w:r/>
    </w:p>
    <w:p>
      <w:pPr>
        <w:pStyle w:val="1020"/>
        <w:numPr>
          <w:ilvl w:val="2"/>
          <w:numId w:val="17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Освободить Заказчика от л</w:t>
      </w:r>
      <w: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без какого-либо ограничения размера такого возмещения.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</w:t>
      </w:r>
      <w:r>
        <w:t xml:space="preserve">(-</w:t>
      </w:r>
      <w:r>
        <w:t xml:space="preserve">ам</w:t>
      </w:r>
      <w:r>
        <w:t xml:space="preserve">) </w:t>
      </w:r>
      <w:r>
        <w:t xml:space="preserve">страхования. </w:t>
      </w:r>
      <w:r/>
    </w:p>
    <w:p>
      <w:pPr>
        <w:pStyle w:val="1020"/>
        <w:numPr>
          <w:ilvl w:val="2"/>
          <w:numId w:val="17"/>
        </w:numPr>
        <w:ind w:left="0" w:firstLine="851"/>
        <w:jc w:val="both"/>
        <w:spacing w:line="276" w:lineRule="auto"/>
        <w:shd w:val="clear" w:color="auto" w:fill="ffffff"/>
        <w:tabs>
          <w:tab w:val="left" w:pos="1418" w:leader="none"/>
          <w:tab w:val="left" w:pos="1560" w:leader="none"/>
          <w:tab w:val="left" w:pos="1843" w:leader="none"/>
        </w:tabs>
      </w:pPr>
      <w:r>
        <w:t xml:space="preserve">   </w:t>
      </w:r>
      <w:r>
        <w:t xml:space="preserve">В случае предъявления налоговыми органами претензий и требований к Заказчику, связанных с недобросовестность</w:t>
      </w:r>
      <w:r>
        <w:t xml:space="preserve">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/>
    </w:p>
    <w:p>
      <w:pPr>
        <w:pStyle w:val="1020"/>
        <w:numPr>
          <w:ilvl w:val="2"/>
          <w:numId w:val="17"/>
        </w:numPr>
        <w:ind w:left="0" w:firstLine="851"/>
        <w:jc w:val="both"/>
        <w:spacing w:line="276" w:lineRule="auto"/>
        <w:shd w:val="clear" w:color="auto" w:fill="ffffff"/>
        <w:tabs>
          <w:tab w:val="left" w:pos="1276" w:leader="none"/>
          <w:tab w:val="left" w:pos="1701" w:leader="none"/>
        </w:tabs>
      </w:pPr>
      <w:r>
        <w:t xml:space="preserve">Ежемесячно в срок до 23 числа меся</w:t>
      </w:r>
      <w:r>
        <w:t xml:space="preserve">ца направлять гарантийное письмо Заказчику об объемах работ (услуг), которые будут предъявлены Заказчику за текущий месяц с указанием сумм для предстоящего финансирования, либо направлять письменное уведомление Заказчику об отсутствии ожидаемого выполнения</w:t>
      </w:r>
      <w:r/>
    </w:p>
    <w:p>
      <w:pPr>
        <w:pStyle w:val="1020"/>
        <w:numPr>
          <w:ilvl w:val="2"/>
          <w:numId w:val="17"/>
        </w:numPr>
        <w:ind w:left="0" w:firstLine="851"/>
        <w:tabs>
          <w:tab w:val="left" w:pos="1701" w:leader="none"/>
        </w:tabs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1020"/>
        <w:numPr>
          <w:ilvl w:val="1"/>
          <w:numId w:val="17"/>
        </w:numPr>
        <w:ind w:left="0" w:firstLine="851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Подрядчик имеет право</w:t>
      </w:r>
      <w:r>
        <w:t xml:space="preserve">:</w:t>
      </w:r>
      <w:r/>
    </w:p>
    <w:p>
      <w:pPr>
        <w:pStyle w:val="1020"/>
        <w:numPr>
          <w:ilvl w:val="2"/>
          <w:numId w:val="27"/>
        </w:numPr>
        <w:ind w:left="0" w:firstLine="851"/>
        <w:spacing w:line="276" w:lineRule="auto"/>
        <w:shd w:val="clear" w:color="auto" w:fill="ffffff"/>
      </w:pPr>
      <w:r>
        <w:t xml:space="preserve">Самостоятельно организовать выполнение Работ.</w:t>
      </w:r>
      <w:r/>
    </w:p>
    <w:p>
      <w:pPr>
        <w:pStyle w:val="1020"/>
        <w:numPr>
          <w:ilvl w:val="2"/>
          <w:numId w:val="28"/>
        </w:numPr>
        <w:ind w:left="0" w:firstLine="851"/>
        <w:jc w:val="both"/>
        <w:spacing w:line="276" w:lineRule="auto"/>
        <w:shd w:val="clear" w:color="auto" w:fill="ffffff"/>
      </w:pPr>
      <w:r>
        <w:t xml:space="preserve">При </w:t>
      </w:r>
      <w:r>
        <w:t xml:space="preserve">необходимости по предварительному письменному согласованию с Заказчиком заключать договоры субподряда в совокупности не более чем на </w:t>
      </w:r>
      <w:r>
        <w:t xml:space="preserve">25</w:t>
      </w:r>
      <w:r>
        <w:t xml:space="preserve"> % (</w:t>
      </w:r>
      <w:r>
        <w:t xml:space="preserve">Двадцать пять </w:t>
      </w:r>
      <w:r>
        <w:t xml:space="preserve">процентов) от Цены Договора, неся при этом ответственность за действия Субподрядчиков, как за свои собственные. 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</w:pPr>
      <w:r>
        <w:t xml:space="preserve">При согласовании привлечения Субподрядчика Подрядчик представляет Заказчику: </w:t>
      </w:r>
      <w:r/>
    </w:p>
    <w:p>
      <w:pPr>
        <w:pStyle w:val="1020"/>
        <w:numPr>
          <w:ilvl w:val="0"/>
          <w:numId w:val="26"/>
        </w:numPr>
        <w:ind w:left="0" w:firstLine="851"/>
        <w:jc w:val="both"/>
        <w:spacing w:line="276" w:lineRule="auto"/>
        <w:shd w:val="clear" w:color="auto" w:fill="ffffff"/>
      </w:pPr>
      <w:r>
        <w:t xml:space="preserve">проект договора с Субподрядчиком; </w:t>
      </w:r>
      <w:r/>
    </w:p>
    <w:p>
      <w:pPr>
        <w:pStyle w:val="1020"/>
        <w:numPr>
          <w:ilvl w:val="0"/>
          <w:numId w:val="26"/>
        </w:numPr>
        <w:ind w:left="0" w:firstLine="851"/>
        <w:jc w:val="both"/>
        <w:spacing w:line="276" w:lineRule="auto"/>
        <w:shd w:val="clear" w:color="auto" w:fill="ffffff"/>
      </w:pPr>
      <w:r>
        <w:t xml:space="preserve">сведения об объемах выполнения работ Субподрядчиком; </w:t>
      </w:r>
      <w:r/>
    </w:p>
    <w:p>
      <w:pPr>
        <w:pStyle w:val="1020"/>
        <w:numPr>
          <w:ilvl w:val="0"/>
          <w:numId w:val="26"/>
        </w:numPr>
        <w:ind w:left="0" w:firstLine="851"/>
        <w:jc w:val="both"/>
        <w:spacing w:line="276" w:lineRule="auto"/>
        <w:shd w:val="clear" w:color="auto" w:fill="ffffff"/>
      </w:pPr>
      <w:r>
        <w:t xml:space="preserve">пофамильный</w:t>
      </w:r>
      <w:r>
        <w:t xml:space="preserve"> перечень персонала Субподрядчика, который будет задействован при производстве Работ; </w:t>
      </w:r>
      <w:r>
        <w:t xml:space="preserve"> </w:t>
      </w:r>
      <w:r/>
    </w:p>
    <w:p>
      <w:pPr>
        <w:pStyle w:val="1020"/>
        <w:numPr>
          <w:ilvl w:val="0"/>
          <w:numId w:val="26"/>
        </w:numPr>
        <w:ind w:left="0" w:firstLine="851"/>
        <w:jc w:val="both"/>
        <w:spacing w:line="276" w:lineRule="auto"/>
        <w:shd w:val="clear" w:color="auto" w:fill="ffffff"/>
      </w:pPr>
      <w: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/>
    </w:p>
    <w:p>
      <w:pPr>
        <w:pStyle w:val="1020"/>
        <w:numPr>
          <w:ilvl w:val="0"/>
          <w:numId w:val="26"/>
        </w:numPr>
        <w:ind w:left="0" w:firstLine="851"/>
        <w:jc w:val="both"/>
        <w:spacing w:line="276" w:lineRule="auto"/>
        <w:shd w:val="clear" w:color="auto" w:fill="ffffff"/>
      </w:pPr>
      <w:r>
        <w:t xml:space="preserve">справку по форме Приложения № 5 к Договору (в случае привлечения Субподрядчика, соответствующего критериям СМП).</w:t>
      </w:r>
      <w:r/>
    </w:p>
    <w:p>
      <w:pPr>
        <w:pStyle w:val="1020"/>
        <w:ind w:left="0" w:firstLine="426"/>
        <w:jc w:val="both"/>
        <w:spacing w:line="276" w:lineRule="auto"/>
        <w:shd w:val="clear" w:color="auto" w:fill="ffffff"/>
        <w:tabs>
          <w:tab w:val="left" w:pos="1418" w:leader="none"/>
        </w:tabs>
      </w:pPr>
      <w:r/>
      <w:r/>
    </w:p>
    <w:p>
      <w:pPr>
        <w:pStyle w:val="1020"/>
        <w:numPr>
          <w:ilvl w:val="0"/>
          <w:numId w:val="28"/>
        </w:numPr>
        <w:jc w:val="center"/>
        <w:spacing w:line="276" w:lineRule="auto"/>
        <w:shd w:val="clear" w:color="auto" w:fill="ffffff"/>
        <w:tabs>
          <w:tab w:val="left" w:pos="284" w:leader="none"/>
        </w:tabs>
      </w:pPr>
      <w:r>
        <w:t xml:space="preserve">Цена Договора и порядок расчетов </w:t>
      </w:r>
      <w:r/>
    </w:p>
    <w:p>
      <w:pPr>
        <w:pStyle w:val="1020"/>
        <w:ind w:left="0"/>
        <w:spacing w:line="276" w:lineRule="auto"/>
        <w:shd w:val="clear" w:color="auto" w:fill="ffffff"/>
        <w:tabs>
          <w:tab w:val="left" w:pos="284" w:leader="none"/>
        </w:tabs>
      </w:pPr>
      <w:r/>
      <w:r/>
    </w:p>
    <w:p>
      <w:pPr>
        <w:pStyle w:val="1020"/>
        <w:numPr>
          <w:ilvl w:val="1"/>
          <w:numId w:val="42"/>
        </w:numPr>
        <w:ind w:left="0" w:firstLine="709"/>
        <w:jc w:val="both"/>
        <w:spacing w:line="276" w:lineRule="auto"/>
      </w:pPr>
      <w:r>
        <w:t xml:space="preserve"> </w:t>
      </w:r>
      <w:r>
        <w:t xml:space="preserve">Цена Договора в соответствии </w:t>
      </w:r>
      <w:r>
        <w:t xml:space="preserve">с Локальным сметным расчетом</w:t>
      </w:r>
      <w:r>
        <w:t xml:space="preserve"> с приложениями (Приложение № 2 к Договору) </w:t>
      </w:r>
      <w:r>
        <w:t xml:space="preserve">составляет___________ (______________) </w:t>
      </w:r>
      <w:r>
        <w:t xml:space="preserve">рублей ___ копеек, в</w:t>
      </w:r>
      <w:r>
        <w:rPr>
          <w:b w:val="0"/>
          <w:bCs w:val="0"/>
          <w:sz w:val="24"/>
          <w:szCs w:val="24"/>
          <w:highlight w:val="none"/>
        </w:rPr>
        <w:t xml:space="preserve"> том числе НДС (__%) __________(____________) рублей  __ копеек.</w:t>
      </w:r>
      <w:r/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</w:rPr>
      </w:pPr>
      <w:r>
        <w:t xml:space="preserve">3.1.1. Предельная </w:t>
      </w:r>
      <w:r>
        <w:t xml:space="preserve">цена Работ (без учёта Лимита на непредвиденные работы и затраты</w:t>
      </w:r>
      <w:r>
        <w:t xml:space="preserve">, без учета Лимита на командировочные расходы</w:t>
      </w:r>
      <w:r>
        <w:t xml:space="preserve">) составляет _______ (_______________) рублей ___ копеек, </w:t>
      </w:r>
      <w:r>
        <w:rPr>
          <w:b w:val="0"/>
          <w:bCs w:val="0"/>
          <w:sz w:val="24"/>
          <w:szCs w:val="24"/>
          <w:highlight w:val="none"/>
        </w:rPr>
        <w:t xml:space="preserve"> в том числе НДС (__%) ___________(____________) рублей  __ копеек.</w:t>
      </w:r>
      <w:r>
        <w:rPr>
          <w:bCs/>
        </w:rPr>
        <w:t xml:space="preserve">      </w:t>
      </w:r>
      <w:r>
        <w:rPr>
          <w:bCs/>
        </w:rPr>
      </w:r>
      <w:r>
        <w:rPr>
          <w:bCs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3.1.2.</w:t>
      </w:r>
      <w:r>
        <w:rPr>
          <w:bCs/>
        </w:rPr>
        <w:tab/>
      </w:r>
      <w:r>
        <w:rPr>
          <w:bCs/>
        </w:rPr>
        <w:t xml:space="preserve">Лимит на </w:t>
      </w:r>
      <w:r>
        <w:rPr>
          <w:bCs/>
        </w:rPr>
        <w:t xml:space="preserve">непредвиден</w:t>
      </w:r>
      <w:r>
        <w:rPr>
          <w:bCs/>
        </w:rPr>
        <w:t xml:space="preserve">ные работы и затраты составляет</w:t>
      </w:r>
      <w:r>
        <w:rPr>
          <w:bCs/>
        </w:rPr>
        <w:t xml:space="preserve">_____</w:t>
      </w:r>
      <w:r>
        <w:rPr>
          <w:bCs/>
        </w:rPr>
        <w:t xml:space="preserve">_</w:t>
      </w:r>
      <w:r>
        <w:rPr>
          <w:bCs/>
        </w:rPr>
        <w:t xml:space="preserve">(</w:t>
      </w:r>
      <w:r>
        <w:rPr>
          <w:bCs/>
        </w:rPr>
        <w:t xml:space="preserve">_____________</w:t>
      </w:r>
      <w:r>
        <w:rPr>
          <w:bCs/>
        </w:rPr>
        <w:t xml:space="preserve">) рублей ___ копеек, в</w:t>
      </w:r>
      <w:r>
        <w:rPr>
          <w:b w:val="0"/>
          <w:bCs w:val="0"/>
          <w:sz w:val="24"/>
          <w:szCs w:val="24"/>
          <w:highlight w:val="none"/>
        </w:rPr>
        <w:t xml:space="preserve"> том числе НДС (__%) ___________(____________) рублей  __ копеек.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3.1.3. Лимит на командировочные затраты составляет </w:t>
      </w:r>
      <w:r>
        <w:rPr>
          <w:bCs/>
          <w:sz w:val="24"/>
          <w:szCs w:val="24"/>
        </w:rPr>
        <w:t xml:space="preserve">______ (___________________) рублей ___ копеек, в</w:t>
      </w:r>
      <w:r>
        <w:rPr>
          <w:b w:val="0"/>
          <w:bCs w:val="0"/>
          <w:sz w:val="24"/>
          <w:szCs w:val="24"/>
          <w:highlight w:val="none"/>
        </w:rPr>
        <w:t xml:space="preserve"> том числе НДС (__%) ___________(____________) рублей  __ копеек.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993" w:leader="none"/>
          <w:tab w:val="left" w:pos="1134" w:leader="none"/>
        </w:tabs>
      </w:pPr>
      <w:r>
        <w:rPr>
          <w:bCs/>
        </w:rPr>
        <w:t xml:space="preserve">3.</w:t>
      </w:r>
      <w:r>
        <w:rPr>
          <w:bCs/>
        </w:rPr>
        <w:t xml:space="preserve">2. </w:t>
      </w:r>
      <w:r>
        <w:rPr>
          <w:bCs/>
        </w:rPr>
        <w:tab/>
      </w:r>
      <w:r>
        <w:t xml:space="preserve">Цена Договора включает в себя прибыль Подрядчика, а также расходы на:</w:t>
      </w:r>
      <w:r/>
    </w:p>
    <w:p>
      <w:pPr>
        <w:pStyle w:val="1020"/>
        <w:numPr>
          <w:ilvl w:val="2"/>
          <w:numId w:val="34"/>
        </w:numPr>
        <w:ind w:left="0" w:firstLine="709"/>
        <w:spacing w:line="276" w:lineRule="auto"/>
        <w:shd w:val="clear" w:color="auto" w:fill="ffffff"/>
        <w:tabs>
          <w:tab w:val="left" w:pos="1418" w:leader="none"/>
        </w:tabs>
      </w:pPr>
      <w:r>
        <w:t xml:space="preserve">выполнение ремонтных работ;</w:t>
      </w:r>
      <w:r/>
    </w:p>
    <w:p>
      <w:pPr>
        <w:pStyle w:val="102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  <w:r/>
    </w:p>
    <w:p>
      <w:pPr>
        <w:pStyle w:val="1020"/>
        <w:numPr>
          <w:ilvl w:val="2"/>
          <w:numId w:val="34"/>
        </w:numPr>
        <w:ind w:left="0" w:firstLine="709"/>
      </w:pPr>
      <w:r>
        <w:t xml:space="preserve">заработную плату, накладные расходы</w:t>
      </w:r>
      <w:r>
        <w:t xml:space="preserve"> и командировочные расходы, перемещение и размещение персонала Подрядчика;</w:t>
      </w:r>
      <w:r>
        <w:t xml:space="preserve"> </w:t>
      </w:r>
      <w:r/>
    </w:p>
    <w:p>
      <w:pPr>
        <w:pStyle w:val="102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102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все прочие затраты и расходы Подрядчика, связанные выполнением Работ, и исполнением иных обязательств по Договору, а та</w:t>
      </w:r>
      <w:r>
        <w:t xml:space="preserve">кже </w:t>
      </w:r>
      <w:r>
        <w:t xml:space="preserve">все непредвиденные расходы,</w:t>
      </w:r>
      <w:r>
        <w:t xml:space="preserve"> </w:t>
      </w:r>
      <w:r>
        <w:t xml:space="preserve">которые могут возникнуть у Подрядчика в течение срока действия Договора. </w:t>
      </w:r>
      <w:r/>
    </w:p>
    <w:p>
      <w:pPr>
        <w:pStyle w:val="102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rPr>
          <w:highlight w:val="none"/>
        </w:rPr>
        <w:t xml:space="preserve">Изменение </w:t>
      </w:r>
      <w:r>
        <w:rPr>
          <w:highlight w:val="none"/>
        </w:rPr>
        <w:t xml:space="preserve">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none"/>
        </w:rPr>
      </w:r>
      <w:r/>
    </w:p>
    <w:p>
      <w:pPr>
        <w:pStyle w:val="102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/>
      <w:bookmarkStart w:id="14" w:name="_Ref361858588"/>
      <w:r/>
      <w:bookmarkStart w:id="15" w:name="_Ref361834675"/>
      <w:r>
        <w:t xml:space="preserve">Оплата по Договору осуществляется Заказчиком в следующем порядке:</w:t>
      </w:r>
      <w:bookmarkEnd w:id="14"/>
      <w:r/>
      <w:bookmarkEnd w:id="15"/>
      <w:r>
        <w:t xml:space="preserve"> </w:t>
      </w:r>
      <w:r/>
    </w:p>
    <w:p>
      <w:pPr>
        <w:ind w:firstLine="709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/>
      <w:bookmarkStart w:id="16" w:name="_Ref361834178"/>
      <w:r>
        <w:rPr>
          <w:sz w:val="24"/>
          <w:szCs w:val="24"/>
        </w:rPr>
        <w:t xml:space="preserve">3.3.1. </w:t>
      </w:r>
      <w:r>
        <w:rPr>
          <w:sz w:val="24"/>
          <w:szCs w:val="24"/>
        </w:rPr>
        <w:t xml:space="preserve">Расчёт за выполненные работы осуществляется Заказчиком в течение</w:t>
      </w:r>
      <w:r>
        <w:rPr>
          <w:sz w:val="24"/>
          <w:szCs w:val="24"/>
        </w:rPr>
        <w:t xml:space="preserve"> 7 (семи) рабочих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 </w:t>
      </w:r>
      <w:r>
        <w:rPr>
          <w:spacing w:val="2"/>
          <w:sz w:val="24"/>
          <w:szCs w:val="24"/>
        </w:rPr>
        <w:t xml:space="preserve">акта о приёмке выполненных работ</w:t>
      </w:r>
      <w:r>
        <w:rPr>
          <w:sz w:val="24"/>
          <w:szCs w:val="24"/>
        </w:rPr>
        <w:t xml:space="preserve">. Предоплата за выполненные работы не предусмотрена.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</w:pPr>
      <w:r>
        <w:t xml:space="preserve">3.3</w:t>
      </w:r>
      <w:r>
        <w:t xml:space="preserve">.2</w:t>
      </w:r>
      <w:r>
        <w:t xml:space="preserve">. 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</w:t>
      </w:r>
      <w:r>
        <w:t xml:space="preserve">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</w:t>
      </w:r>
      <w:r>
        <w:t xml:space="preserve">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 </w:t>
      </w:r>
      <w:bookmarkEnd w:id="16"/>
      <w:r/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3.4. Расчеты по Договору осуществляются в валюте Российской Федерац</w:t>
      </w:r>
      <w:r>
        <w:rPr>
          <w:sz w:val="24"/>
          <w:szCs w:val="24"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3.5. За исключением случая, указанного в пункте 2.3.20.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t xml:space="preserve"> </w:t>
      </w:r>
      <w:r>
        <w:rPr>
          <w:sz w:val="24"/>
          <w:szCs w:val="24"/>
        </w:rPr>
        <w:t xml:space="preserve">3.6. </w:t>
      </w:r>
      <w:r>
        <w:t xml:space="preserve"> </w:t>
      </w:r>
      <w:r>
        <w:rPr>
          <w:sz w:val="24"/>
          <w:szCs w:val="24"/>
        </w:rPr>
        <w:t xml:space="preserve">Заказчик вправе произвести сальдо взаимных обязательств сторон путем уменьшения сумм причита</w:t>
      </w:r>
      <w:r>
        <w:rPr>
          <w:sz w:val="24"/>
          <w:szCs w:val="24"/>
        </w:rPr>
        <w:t xml:space="preserve">ющихся Подрядчику платежей по Договору,</w:t>
      </w:r>
      <w:r>
        <w:rPr>
          <w:rFonts w:ascii="Calibri" w:hAnsi="Calibri" w:eastAsia="Calibri" w:cs="Calibri"/>
          <w:color w:val="000000"/>
          <w:sz w:val="24"/>
          <w:szCs w:val="24"/>
          <w:highlight w:val="white"/>
          <w:u w:val="non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</w:t>
      </w:r>
      <w:r>
        <w:rPr>
          <w:rFonts w:ascii="Calibri" w:hAnsi="Calibri" w:eastAsia="Calibri" w:cs="Calibri"/>
          <w:color w:val="000000"/>
          <w:sz w:val="20"/>
          <w:highlight w:val="white"/>
          <w:u w:val="none"/>
        </w:rPr>
        <w:t xml:space="preserve"> ,</w:t>
      </w:r>
      <w:r>
        <w:rPr>
          <w:sz w:val="24"/>
          <w:szCs w:val="24"/>
        </w:rPr>
        <w:t xml:space="preserve">на суммы задолженности Подрядчика перед Заказчиком, в то</w:t>
      </w:r>
      <w:r>
        <w:rPr>
          <w:sz w:val="24"/>
          <w:szCs w:val="24"/>
        </w:rPr>
        <w:t xml:space="preserve">м числе (включая, но не ограничиваясь),  суммы неустоек (пени, штрафы) за неисполнение и/или ненадлежащее исполнение обязательств по Договору, </w:t>
      </w:r>
      <w:r>
        <w:rPr>
          <w:sz w:val="24"/>
          <w:szCs w:val="24"/>
        </w:rPr>
        <w:t xml:space="preserve">стоимость работ по </w:t>
      </w:r>
      <w:r>
        <w:rPr>
          <w:sz w:val="24"/>
          <w:szCs w:val="24"/>
        </w:rPr>
        <w:t xml:space="preserve">устранению недостатков выполненных Подрядчиком работ.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2"/>
        <w:ind w:left="0" w:right="0" w:firstLine="709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>
        <w:rPr>
          <w:sz w:val="24"/>
          <w:szCs w:val="24"/>
          <w:lang w:val="ru-RU" w:eastAsia="ru-RU"/>
        </w:rPr>
        <w:t xml:space="preserve">Стоимость работ определена согласно следующих ценовых показателей (критериев):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val="ru-RU" w:eastAsia="ru-RU"/>
        </w:rPr>
        <w:t xml:space="preserve">3.7.1. </w:t>
      </w:r>
      <w:r>
        <w:rPr>
          <w:bCs/>
          <w:sz w:val="24"/>
          <w:szCs w:val="24"/>
          <w:highlight w:val="none"/>
        </w:rPr>
        <w:t xml:space="preserve">Стоимость работ по настоящему Договору определяется в программном комплексе «Гранд-СМЕТА»: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- </w:t>
      </w:r>
      <w:r>
        <w:rPr>
          <w:bCs/>
          <w:sz w:val="24"/>
          <w:szCs w:val="24"/>
          <w:highlight w:val="white"/>
        </w:rPr>
        <w:t xml:space="preserve">на базе ФСНБ-2022 (с изм. 1-15) ресурсно-индексным методом с уровнем цен 3 квартал 2025 года</w:t>
      </w:r>
      <w:r>
        <w:rPr>
          <w:bCs/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- при расчёте сметной стоимости, сметную прибыль принимать 30% от ФОТ.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2"/>
        <w:ind w:left="0" w:right="0" w:firstLine="709"/>
        <w:spacing w:line="276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lang w:val="ru-RU" w:eastAsia="ru-RU"/>
        </w:rPr>
        <w:t xml:space="preserve">3.7.2. </w:t>
      </w:r>
      <w:r>
        <w:rPr>
          <w:sz w:val="24"/>
          <w:szCs w:val="24"/>
          <w:highlight w:val="white"/>
        </w:rPr>
        <w:t xml:space="preserve">Командировочные расходы включаются в стоимость Работ в соответствии с расчетом, прилагаемым к локальному сметному расчету</w:t>
      </w:r>
      <w:r>
        <w:rPr>
          <w:sz w:val="24"/>
          <w:szCs w:val="24"/>
          <w:highlight w:val="white"/>
        </w:rPr>
        <w:t xml:space="preserve"> (Приложение № 2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</w:t>
      </w:r>
      <w:r>
        <w:rPr>
          <w:sz w:val="24"/>
          <w:szCs w:val="24"/>
          <w:highlight w:val="white"/>
        </w:rPr>
        <w:t xml:space="preserve">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 Р</w:t>
      </w:r>
      <w:r>
        <w:rPr>
          <w:sz w:val="24"/>
          <w:szCs w:val="24"/>
          <w:highlight w:val="white"/>
        </w:rPr>
        <w:t xml:space="preserve">абот по Договору. </w:t>
      </w:r>
      <w:r>
        <w:rPr>
          <w:sz w:val="24"/>
          <w:szCs w:val="24"/>
          <w:highlight w:val="white"/>
        </w:rPr>
        <w:t xml:space="preserve">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отчеты, табель учета рабочего времени.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32"/>
        <w:ind w:left="0" w:right="0" w:firstLine="709"/>
        <w:spacing w:line="276" w:lineRule="auto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 xml:space="preserve">3.7.3. </w:t>
      </w:r>
      <w:r>
        <w:rPr>
          <w:sz w:val="24"/>
          <w:szCs w:val="24"/>
          <w:highlight w:val="white"/>
        </w:rP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</w:t>
      </w:r>
      <w:r>
        <w:rPr>
          <w:sz w:val="24"/>
          <w:szCs w:val="24"/>
          <w:highlight w:val="white"/>
        </w:rPr>
        <w:t xml:space="preserve">выполняться на основании утвержденных Заказчиком локальных смет, в рамках Лимита на непредвиденные работы и затраты, предусмотренного утвержденным локальным сметным расчетом (Приложение № 2 к Договору). Приемка выполненного объема работ произво</w:t>
      </w:r>
      <w:r>
        <w:rPr>
          <w:sz w:val="24"/>
          <w:szCs w:val="24"/>
          <w:highlight w:val="white"/>
        </w:rPr>
        <w:t xml:space="preserve">дится одновременно с Работами по Договору при подписании Сторонами Актов выполненных работ в соответствии с пунктом 4.1 Договора. </w:t>
      </w:r>
      <w:r>
        <w:rPr>
          <w:sz w:val="24"/>
          <w:szCs w:val="24"/>
          <w:highlight w:val="white"/>
        </w:rPr>
        <w:t xml:space="preserve">Оплата в размере 100 % (ста процентов) от стоимости непредвиденных работ и затрат производится Заказчиком в течение </w:t>
      </w:r>
      <w:r>
        <w:rPr>
          <w:sz w:val="24"/>
          <w:szCs w:val="24"/>
          <w:highlight w:val="white"/>
        </w:rPr>
        <w:t xml:space="preserve">7 (семи) рабочих дней с даты подписания </w:t>
      </w:r>
      <w:r>
        <w:rPr>
          <w:sz w:val="24"/>
          <w:szCs w:val="24"/>
          <w:highlight w:val="white"/>
        </w:rPr>
        <w:t xml:space="preserve"> Акта КС-2 и Справки КС-3 на основан</w:t>
      </w:r>
      <w:r>
        <w:rPr>
          <w:sz w:val="24"/>
          <w:szCs w:val="24"/>
          <w:highlight w:val="white"/>
        </w:rPr>
        <w:t xml:space="preserve">ии счета, выставленного Подрядчиком, и с учетом пункт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3.3.3.</w:t>
      </w:r>
      <w:r>
        <w:rPr>
          <w:sz w:val="24"/>
          <w:szCs w:val="24"/>
          <w:highlight w:val="white"/>
        </w:rPr>
        <w:t xml:space="preserve"> Договора. Стоимость непредвиденных работ  и затрат включается в </w:t>
      </w:r>
      <w:r>
        <w:rPr>
          <w:bCs/>
          <w:sz w:val="24"/>
          <w:szCs w:val="24"/>
          <w:highlight w:val="white"/>
        </w:rPr>
        <w:t xml:space="preserve">общую сумму Акта КС-2, подписываемого Сторонами в соответствии с пунктом 4.1 Договора.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3.8. Индексация Цены Договора не допускается.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shd w:val="clear" w:color="auto" w:fill="ffffff"/>
        <w:tabs>
          <w:tab w:val="left" w:pos="1134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Порядок сдачи-приемки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284" w:leader="none"/>
        </w:tabs>
      </w:pPr>
      <w:r/>
      <w:r/>
    </w:p>
    <w:p>
      <w:pPr>
        <w:pStyle w:val="1020"/>
        <w:numPr>
          <w:ilvl w:val="1"/>
          <w:numId w:val="48"/>
        </w:numPr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ежемесячно не позднее 25 числа текущего месяца предоставляет Заказчику подписанные со своей стороны: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Акт КС-2, Справку КС-3 на весь объем выполненных Работ по Объекту в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трех</w:t>
      </w:r>
      <w:r>
        <w:rPr>
          <w:sz w:val="24"/>
          <w:szCs w:val="24"/>
        </w:rPr>
        <w:t xml:space="preserve">) экземплярах с приложением Приемо-сдаточной и Исполнительной документации в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экземплярах, </w:t>
      </w:r>
      <w:r>
        <w:t xml:space="preserve">а также</w:t>
      </w:r>
      <w:r>
        <w:t xml:space="preserve"> электронные версии Акта КС-2 и Справки КС-3 в формате *gsfx ПК «ГРАНД Сметы» на цифровом носителе</w:t>
      </w:r>
      <w:r>
        <w:t xml:space="preserve">;</w:t>
      </w:r>
      <w: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4.2. В течение 5 (пяти) рабочих дней с даты получения полного комплекта документов, указанных в пункте 4.1 Договора, Заказчик подписывает и передает Подряд</w:t>
      </w:r>
      <w:r>
        <w:rPr>
          <w:bCs/>
          <w:sz w:val="24"/>
          <w:szCs w:val="24"/>
        </w:rPr>
        <w:t xml:space="preserve">чику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4.3. Устранение указанных недостатков, несоответствий и / или дефектов, выявленных Заказчиком, осуществ</w:t>
      </w:r>
      <w:r>
        <w:rPr>
          <w:sz w:val="24"/>
          <w:szCs w:val="24"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4.4. Повторная приемка Заказчиком выполненных Работ после устранения недостатков, указанных в Ведомости замечаний, осуществляется в порядке, </w:t>
      </w:r>
      <w:r>
        <w:rPr>
          <w:sz w:val="24"/>
          <w:szCs w:val="24"/>
        </w:rPr>
        <w:t xml:space="preserve">предусмотренном пунктами 4.1-4.2</w:t>
      </w:r>
      <w:r>
        <w:rPr>
          <w:sz w:val="24"/>
          <w:szCs w:val="24"/>
        </w:rPr>
        <w:t xml:space="preserve">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4.5. 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собственными силами и (или) силами третьих лиц выполнить работы по устранению нед</w:t>
      </w:r>
      <w:r>
        <w:rPr>
          <w:sz w:val="24"/>
          <w:szCs w:val="24"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4.6.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bookmarkStart w:id="19" w:name="_Ref361337635"/>
      <w:r>
        <w:rPr>
          <w:sz w:val="24"/>
          <w:szCs w:val="24"/>
        </w:rPr>
        <w:t xml:space="preserve">Подрядчик </w:t>
      </w:r>
      <w:r>
        <w:rPr>
          <w:bCs/>
          <w:sz w:val="24"/>
          <w:szCs w:val="24"/>
        </w:rPr>
        <w:t xml:space="preserve">о</w:t>
      </w:r>
      <w:r>
        <w:rPr>
          <w:sz w:val="24"/>
          <w:szCs w:val="24"/>
        </w:rPr>
        <w:t xml:space="preserve">бязан представить Заказчику счета-фактуры, выставленные в сроки и оформленные в п</w:t>
      </w:r>
      <w:r>
        <w:rPr>
          <w:sz w:val="24"/>
          <w:szCs w:val="24"/>
        </w:rPr>
        <w:t xml:space="preserve">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</w:t>
      </w:r>
      <w:r>
        <w:rPr>
          <w:color w:val="4f81bd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4.8. </w:t>
      </w:r>
      <w:r>
        <w:rPr>
          <w:sz w:val="24"/>
          <w:szCs w:val="24"/>
        </w:rPr>
        <w:t xml:space="preserve">Подрядчик не позднее 20 числа месяца, следующего за отчетным, подписывает сформированные Заказчиком Акты ОС-3 в 2 (двух) экземплярах.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t xml:space="preserve"> </w:t>
      </w:r>
      <w:bookmarkEnd w:id="19"/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Право собственности и переход рисков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0" w:name="_Ref361405028"/>
      <w:r>
        <w:rPr>
          <w:sz w:val="24"/>
          <w:szCs w:val="24"/>
        </w:rPr>
        <w:t xml:space="preserve">5.1. Р</w:t>
      </w:r>
      <w:bookmarkEnd w:id="20"/>
      <w:r>
        <w:rPr>
          <w:sz w:val="24"/>
          <w:szCs w:val="24"/>
        </w:rPr>
        <w:t xml:space="preserve">иск случайной гибели или повреждения Результата Работ в отношении Объекта, включая Материально-технические ресу</w:t>
      </w:r>
      <w:r>
        <w:rPr>
          <w:sz w:val="24"/>
          <w:szCs w:val="24"/>
        </w:rPr>
        <w:t xml:space="preserve">рсы, переходит к Заказчику с момента подписания последнего Акта КС-2 по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shd w:val="clear" w:color="auto" w:fill="ffffff"/>
        <w:widowControl w:val="off"/>
        <w:tabs>
          <w:tab w:val="left" w:pos="1134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Ответственность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6.1.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</w:t>
      </w:r>
      <w:r>
        <w:rPr>
          <w:sz w:val="24"/>
          <w:szCs w:val="24"/>
        </w:rPr>
        <w:t xml:space="preserve">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6.2</w:t>
      </w:r>
      <w:r>
        <w:rPr>
          <w:sz w:val="24"/>
          <w:szCs w:val="24"/>
        </w:rPr>
        <w:t xml:space="preserve">. В случае нарушения Заказчиком сроков оплаты, установл</w:t>
      </w:r>
      <w:r>
        <w:rPr>
          <w:sz w:val="24"/>
          <w:szCs w:val="24"/>
        </w:rPr>
        <w:t xml:space="preserve">енных разделом 3 Договора, Подрядчик вправе требовать уплаты Заказчиком исключительной неустойки в размере 0,1 (ноль целых одна десятая) процента от несвоевременно оплаченной суммы за каждый день просрочки,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76" w:lineRule="auto"/>
        <w:widowControl w:val="o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6.3. В случае нарушения Подрядчиком обязательств</w:t>
      </w:r>
      <w:r>
        <w:rPr>
          <w:sz w:val="24"/>
          <w:szCs w:val="24"/>
        </w:rPr>
        <w:t xml:space="preserve"> по выполнению Работ</w:t>
      </w:r>
      <w:r>
        <w:rPr>
          <w:sz w:val="24"/>
          <w:szCs w:val="24"/>
        </w:rPr>
        <w:t xml:space="preserve">, в том числе сроков выполнения Работ, а также</w:t>
      </w:r>
      <w:r>
        <w:rPr>
          <w:sz w:val="24"/>
          <w:szCs w:val="24"/>
        </w:rPr>
        <w:t xml:space="preserve"> несвоевременного устранения выявленных недостатков Результатов Работ, Заказчик вправе требовать уплаты Подрядчиком</w:t>
      </w:r>
      <w:r>
        <w:rPr>
          <w:sz w:val="24"/>
          <w:szCs w:val="24"/>
        </w:rPr>
        <w:t xml:space="preserve"> неустойки в размере 0,1 (ноль целых и одна десятая) процента от цены Договора за каждый день просрочки.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spacing w:line="276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ab/>
      </w:r>
      <w:r>
        <w:rPr>
          <w:sz w:val="24"/>
          <w:szCs w:val="24"/>
        </w:rPr>
        <w:t xml:space="preserve">6.4. В случае нарушения Подрядчиком или привлеченными им Субподрядчиками требований пропускного и </w:t>
      </w:r>
      <w:r>
        <w:rPr>
          <w:sz w:val="24"/>
          <w:szCs w:val="24"/>
        </w:rPr>
        <w:t xml:space="preserve">внутриобъектового</w:t>
      </w:r>
      <w:r>
        <w:rPr>
          <w:sz w:val="24"/>
          <w:szCs w:val="24"/>
        </w:rPr>
        <w:t xml:space="preserve"> режима, требований о</w:t>
      </w:r>
      <w:r>
        <w:rPr>
          <w:sz w:val="24"/>
          <w:szCs w:val="24"/>
        </w:rPr>
        <w:t xml:space="preserve">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требовать уплаты Подрядчиком штрафа в размерах, установленных Приложением № 4 к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6.5. Если </w:t>
      </w:r>
      <w:r>
        <w:rPr>
          <w:bCs/>
          <w:sz w:val="24"/>
          <w:szCs w:val="24"/>
        </w:rPr>
        <w:t xml:space="preserve">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</w:t>
      </w:r>
      <w:r>
        <w:rPr>
          <w:bCs/>
          <w:sz w:val="24"/>
          <w:szCs w:val="24"/>
        </w:rPr>
        <w:t xml:space="preserve">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таких расходов. Основанием для компенсации являются решения налоговых </w:t>
      </w:r>
      <w:r>
        <w:rPr>
          <w:bCs/>
          <w:sz w:val="24"/>
          <w:szCs w:val="24"/>
        </w:rPr>
        <w:t xml:space="preserve">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</w:t>
      </w:r>
      <w:r>
        <w:rPr>
          <w:bCs/>
          <w:sz w:val="24"/>
          <w:szCs w:val="24"/>
        </w:rPr>
        <w:t xml:space="preserve"> предоставления счетов-фактур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установл</w:t>
      </w:r>
      <w:r>
        <w:rPr>
          <w:bCs/>
          <w:sz w:val="24"/>
          <w:szCs w:val="24"/>
        </w:rPr>
        <w:t xml:space="preserve">енных п</w:t>
      </w:r>
      <w:r>
        <w:rPr>
          <w:bCs/>
          <w:sz w:val="24"/>
          <w:szCs w:val="24"/>
        </w:rPr>
        <w:t xml:space="preserve">унктом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 Договора, Заказчик </w:t>
      </w: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</w:rPr>
        <w:t xml:space="preserve">прав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требовать уплаты </w:t>
      </w:r>
      <w:r>
        <w:rPr>
          <w:bCs/>
          <w:sz w:val="24"/>
          <w:szCs w:val="24"/>
        </w:rPr>
        <w:t xml:space="preserve">Подрядчиком </w:t>
      </w:r>
      <w:r>
        <w:rPr>
          <w:bCs/>
          <w:sz w:val="24"/>
          <w:szCs w:val="24"/>
        </w:rPr>
        <w:t xml:space="preserve">штрафа в размере 50 000 (пятидесяти тысяч) рублей за каждый случай нарушения.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6.6. Подрядчик несет ответственность перед Заказчиком за причи</w:t>
      </w:r>
      <w:r>
        <w:rPr>
          <w:sz w:val="24"/>
          <w:szCs w:val="24"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6.7. Предусмотренный пунктом 6.6. Договора ущерб Заказчика компенсируется Подрядчиком в полной сумме сверх неустойки.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6.8. 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6.9. 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610. Учитывая, что для Заказчика надлежащее и своевременное выполнение Подрядчиком своих обязательств по Договору имеет существенное значение, Стороны </w:t>
      </w:r>
      <w:r>
        <w:rPr>
          <w:sz w:val="24"/>
          <w:szCs w:val="24"/>
        </w:rPr>
        <w:t xml:space="preserve">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6.11. 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</w:t>
      </w:r>
      <w:r>
        <w:rPr>
          <w:sz w:val="24"/>
          <w:szCs w:val="24"/>
        </w:rPr>
        <w:t xml:space="preserve">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6.12. В случае нарушения Подрядчиком обязательств по выполнению работ, на срок свыше 60</w:t>
      </w:r>
      <w:r>
        <w:rPr>
          <w:rFonts w:eastAsia="Calibri"/>
          <w:sz w:val="24"/>
          <w:szCs w:val="24"/>
        </w:rPr>
        <w:t xml:space="preserve"> (шестидесяти</w:t>
      </w:r>
      <w:r>
        <w:rPr>
          <w:rFonts w:eastAsia="Calibri"/>
          <w:sz w:val="24"/>
          <w:szCs w:val="24"/>
        </w:rPr>
        <w:t xml:space="preserve">) </w:t>
      </w:r>
      <w:r>
        <w:rPr>
          <w:rFonts w:eastAsia="Calibri"/>
          <w:sz w:val="24"/>
          <w:szCs w:val="24"/>
        </w:rPr>
        <w:t xml:space="preserve">календарных дней, Заказчика имеет право расторгнуть Договор в одностороннем внесудебном порядке, а также потребовать возмещения убытков.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shd w:val="clear" w:color="auto" w:fill="ffffff"/>
        <w:tabs>
          <w:tab w:val="left" w:pos="1134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 Гарантии качества Результата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1" w:name="_Ref361337777"/>
      <w:r>
        <w:rPr>
          <w:sz w:val="24"/>
          <w:szCs w:val="24"/>
        </w:rPr>
        <w:t xml:space="preserve"> 7.1. Гарантийный срок по Договору составляет 24 месяца и начинает течь с даты подписания Сторонами </w:t>
      </w:r>
      <w:r>
        <w:rPr>
          <w:sz w:val="24"/>
          <w:szCs w:val="24"/>
        </w:rPr>
        <w:t xml:space="preserve">последнего </w:t>
      </w:r>
      <w:r>
        <w:rPr>
          <w:sz w:val="24"/>
          <w:szCs w:val="24"/>
        </w:rPr>
        <w:t xml:space="preserve">Акта КС-2 </w:t>
      </w:r>
      <w:bookmarkEnd w:id="21"/>
      <w:r>
        <w:rPr>
          <w:sz w:val="24"/>
          <w:szCs w:val="24"/>
        </w:rPr>
        <w:t xml:space="preserve">по Объекту 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7.2. Гарантийные обязательства Подрядчика наступают с даты подписания </w:t>
      </w:r>
      <w:r>
        <w:rPr>
          <w:sz w:val="24"/>
          <w:szCs w:val="24"/>
        </w:rPr>
        <w:t xml:space="preserve">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sz w:val="24"/>
          <w:szCs w:val="24"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7.3. 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sz w:val="24"/>
          <w:szCs w:val="24"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6" w:lineRule="auto"/>
        <w:shd w:val="clear" w:color="auto" w:fill="ffffff"/>
        <w:tabs>
          <w:tab w:val="left" w:pos="567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bookmarkStart w:id="22" w:name="_Ref361337764"/>
      <w:r>
        <w:rPr>
          <w:sz w:val="24"/>
          <w:szCs w:val="24"/>
        </w:rPr>
        <w:t xml:space="preserve">В случае обнаружения в период Гарантийного срока недостатков, несоответствий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spacing w:line="276" w:lineRule="auto"/>
        <w:shd w:val="clear" w:color="auto" w:fill="ffff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 дефектов Результата Работ, Заказчик направляет Подрядчику письменное уведомлени</w:t>
      </w:r>
      <w:r>
        <w:rPr>
          <w:sz w:val="24"/>
          <w:szCs w:val="24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7.5. Наличие и полный перечень недостатков, несоответствий и / или дефектов Результата Работ, а также разумные сроки их устранения, оформляются Актом о</w:t>
      </w:r>
      <w:r>
        <w:rPr>
          <w:sz w:val="24"/>
          <w:szCs w:val="24"/>
        </w:rPr>
        <w:t xml:space="preserve">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данного акт</w:t>
      </w:r>
      <w:r>
        <w:rPr>
          <w:sz w:val="24"/>
          <w:szCs w:val="24"/>
        </w:rPr>
        <w:t xml:space="preserve">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Акт о </w:t>
      </w:r>
      <w:r>
        <w:rPr>
          <w:sz w:val="24"/>
          <w:szCs w:val="24"/>
        </w:rPr>
        <w:t xml:space="preserve">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7.6. Подрядчик обязан своими силами и за свой счет устранить недостатки, несоответствия и / или дефекты, обнаруженные Заказчиком в течение Гарантийного срока, в срок, указанный в </w:t>
      </w:r>
      <w:bookmarkStart w:id="23" w:name="OLE_LINK5"/>
      <w:r>
        <w:rPr>
          <w:sz w:val="24"/>
          <w:szCs w:val="24"/>
        </w:rPr>
      </w:r>
      <w:bookmarkStart w:id="24" w:name="OLE_LINK6"/>
      <w:r>
        <w:rPr>
          <w:sz w:val="24"/>
          <w:szCs w:val="24"/>
        </w:rPr>
        <w:t xml:space="preserve">Акте о недостатках, составленном в порядке, установленном пунктом 7.5 Договора</w:t>
      </w:r>
      <w:bookmarkEnd w:id="23"/>
      <w:r>
        <w:rPr>
          <w:sz w:val="24"/>
          <w:szCs w:val="24"/>
        </w:rPr>
      </w:r>
      <w:bookmarkEnd w:id="24"/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7.7. Если Подрядчик не устранит недостатки в установленный срок, Заказчик вправе собственными силами и / или силами третьих лиц вы</w:t>
      </w:r>
      <w:r>
        <w:rPr>
          <w:sz w:val="24"/>
          <w:szCs w:val="24"/>
        </w:rPr>
        <w:t xml:space="preserve">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7.8. 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sz w:val="24"/>
          <w:szCs w:val="24"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  <w:sz w:val="24"/>
          <w:szCs w:val="24"/>
        </w:rPr>
        <w:t xml:space="preserve">7.9. Устранение недостатко</w:t>
      </w:r>
      <w:r>
        <w:rPr>
          <w:bCs/>
          <w:sz w:val="24"/>
          <w:szCs w:val="24"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pStyle w:val="1020"/>
        <w:ind w:left="851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left="0" w:firstLine="0"/>
        <w:jc w:val="center"/>
        <w:spacing w:line="264" w:lineRule="auto"/>
        <w:shd w:val="clear" w:color="auto" w:fill="ffffff"/>
        <w:tabs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 Исключительные права и патенты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720" w:firstLine="0"/>
        <w:spacing w:line="264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992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8.1. 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8.2. 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8.3. В состав Результата Рабо</w:t>
      </w:r>
      <w:r>
        <w:rPr>
          <w:bCs/>
          <w:sz w:val="24"/>
          <w:szCs w:val="24"/>
        </w:rPr>
        <w:t xml:space="preserve">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8.4. В случае, если Заказчику будут предъявлены требования, связанные с нарушением </w:t>
      </w:r>
      <w:r>
        <w:rPr>
          <w:bCs/>
          <w:sz w:val="24"/>
          <w:szCs w:val="24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8.5.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sz w:val="24"/>
          <w:szCs w:val="24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0"/>
        <w:contextualSpacing w:val="0"/>
        <w:ind w:left="0" w:firstLine="709"/>
        <w:jc w:val="both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</w:t>
      </w:r>
      <w:r>
        <w:rPr>
          <w:bCs/>
        </w:rPr>
        <w:t xml:space="preserve">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8.6. 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4"/>
          <w:szCs w:val="24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64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8.7. Переход прав на исключительные пр</w:t>
      </w:r>
      <w:r>
        <w:rPr>
          <w:bCs/>
          <w:sz w:val="24"/>
          <w:szCs w:val="24"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 Конфиденциальность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9.1. Под конфиденциальной информаци</w:t>
      </w:r>
      <w:r>
        <w:rPr>
          <w:sz w:val="24"/>
          <w:szCs w:val="24"/>
        </w:rPr>
        <w:t xml:space="preserve">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</w:t>
      </w:r>
      <w:r>
        <w:rPr>
          <w:sz w:val="24"/>
          <w:szCs w:val="24"/>
        </w:rPr>
        <w:t xml:space="preserve">место выполнения работ</w:t>
      </w:r>
      <w:r>
        <w:rPr>
          <w:sz w:val="24"/>
          <w:szCs w:val="24"/>
        </w:rPr>
        <w:t xml:space="preserve">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sz w:val="24"/>
          <w:szCs w:val="24"/>
        </w:rPr>
        <w:t xml:space="preserve">введения в отношении нее режима Коммерческой тайны;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9.2. 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9.3. 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 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9.5. Информация может включать в себя, в том числе, но не ограничиваясь: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финансовую </w:t>
      </w:r>
      <w:r>
        <w:rPr>
          <w:sz w:val="24"/>
          <w:szCs w:val="24"/>
          <w:lang w:val="en-US"/>
        </w:rPr>
        <w:t xml:space="preserve">(</w:t>
      </w:r>
      <w:r>
        <w:rPr>
          <w:sz w:val="24"/>
          <w:szCs w:val="24"/>
        </w:rPr>
        <w:t xml:space="preserve">бухгалтерскую) отчетность;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учетные регистры бухгалтерского учета;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бизнес-планы;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подрядчиках, поставщиках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материалов, а также о покупателях продукции Заказчика и их аффилированных лицах;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right="0" w:firstLine="709"/>
        <w:spacing w:line="276" w:lineRule="auto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 </w:t>
      </w:r>
      <w:bookmarkStart w:id="25" w:name="_Ref361337849"/>
      <w:r>
        <w:rPr>
          <w:sz w:val="24"/>
          <w:szCs w:val="24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 (расторжения) или исполнения, в том числе:</w:t>
      </w:r>
      <w:bookmarkEnd w:id="25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9.6.1. не разглашать, не обсуждать содержание, </w:t>
      </w:r>
      <w:r>
        <w:rPr>
          <w:sz w:val="24"/>
          <w:szCs w:val="24"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.6.7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9.6.2. принимать меры предосторожности, обычно используемые для защиты такого рода ин</w:t>
      </w:r>
      <w:r>
        <w:rPr>
          <w:sz w:val="24"/>
          <w:szCs w:val="24"/>
        </w:rPr>
        <w:t xml:space="preserve">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r>
        <w:rPr>
          <w:sz w:val="24"/>
          <w:szCs w:val="24"/>
        </w:rPr>
        <w:t xml:space="preserve">Информации,</w:t>
      </w:r>
      <w:r>
        <w:rPr>
          <w:sz w:val="24"/>
          <w:szCs w:val="24"/>
        </w:rPr>
        <w:t xml:space="preserve"> обычно используемые им меры защиты;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9.6.3. использовать Информацию исключительно для целей, для которых она была предоставлена;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9.6.4. 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9.6.5. в случае возникновения угро</w:t>
      </w:r>
      <w:r>
        <w:rPr>
          <w:sz w:val="24"/>
          <w:szCs w:val="24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9.6.6. 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sz w:val="24"/>
          <w:szCs w:val="24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9.6.7. </w:t>
      </w:r>
      <w:bookmarkStart w:id="26" w:name="_Ref361337832"/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9.6.8. не разглашать третьим лицам факты передачи или получения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9.7. </w:t>
      </w:r>
      <w:bookmarkStart w:id="27" w:name="_Ref361337863"/>
      <w:r>
        <w:rPr>
          <w:sz w:val="24"/>
          <w:szCs w:val="24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9.8. 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sz w:val="24"/>
          <w:szCs w:val="24"/>
        </w:rPr>
        <w:t xml:space="preserve">9.9. 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>
        <w:t xml:space="preserve"> </w:t>
      </w:r>
      <w:r/>
    </w:p>
    <w:p>
      <w:pPr>
        <w:pStyle w:val="1020"/>
        <w:ind w:left="709"/>
        <w:jc w:val="both"/>
        <w:spacing w:line="276" w:lineRule="auto"/>
        <w:shd w:val="clear" w:color="auto" w:fill="ffffff"/>
        <w:tabs>
          <w:tab w:val="left" w:pos="1134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 Антикоррупционная оговорка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10.1. Стороны обязуются обеспечить, чтобы при исполнении обязательств, возникающих по Договору  или в связи с ним, их аффилированные лица, работники и/или пре</w:t>
      </w:r>
      <w:r>
        <w:rPr>
          <w:sz w:val="24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rPr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rPr>
          <w:sz w:val="24"/>
          <w:szCs w:val="24"/>
        </w:rP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10.6. 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10.7. Каналы связи Линия доверия Группы </w:t>
      </w:r>
      <w:r>
        <w:rPr>
          <w:sz w:val="24"/>
          <w:szCs w:val="24"/>
        </w:rPr>
        <w:t xml:space="preserve">РусГидро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10.7.1. Электронная почта: </w:t>
      </w:r>
      <w:hyperlink r:id="rId14" w:tooltip="mailto:ld@rushydro.ru" w:history="1">
        <w:r>
          <w:rPr>
            <w:rStyle w:val="1056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10.7.2. Специальная форма «обратной связи», размещенная на официальном сайте в сети интернет: </w:t>
      </w:r>
      <w:hyperlink r:id="rId15" w:tooltip="http://www.rushydro.ru/" w:history="1">
        <w:r>
          <w:rPr>
            <w:rStyle w:val="1056"/>
            <w:sz w:val="24"/>
            <w:szCs w:val="24"/>
          </w:rPr>
          <w:t xml:space="preserve">http://www.rushydro.ru/</w:t>
        </w:r>
      </w:hyperlink>
      <w:r>
        <w:rPr>
          <w:sz w:val="24"/>
          <w:szCs w:val="24"/>
        </w:rPr>
        <w:t xml:space="preserve">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tabs>
          <w:tab w:val="left" w:pos="1276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t xml:space="preserve">11. </w:t>
      </w:r>
      <w:r>
        <w:rPr>
          <w:sz w:val="24"/>
          <w:szCs w:val="24"/>
        </w:rPr>
        <w:t xml:space="preserve">Обстоятельства непреодолимой силы (форс-мажор)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 Стороны освоб</w:t>
      </w:r>
      <w:r>
        <w:rPr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11.2. 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11.3. 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sz w:val="24"/>
          <w:szCs w:val="24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11.4. Надлежащим (достаточным) доказательством наличия/возникновения и про</w:t>
      </w:r>
      <w:r>
        <w:rPr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11.5. Отсутствие уведомления или </w:t>
      </w:r>
      <w:r>
        <w:rPr>
          <w:sz w:val="24"/>
          <w:szCs w:val="24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tabs>
          <w:tab w:val="left" w:pos="56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709"/>
        <w:jc w:val="both"/>
        <w:spacing w:line="276" w:lineRule="auto"/>
        <w:shd w:val="clear" w:color="auto" w:fill="ffffff"/>
        <w:tabs>
          <w:tab w:val="left" w:pos="568" w:leader="none"/>
        </w:tabs>
      </w:pPr>
      <w:r/>
      <w:r/>
    </w:p>
    <w:p>
      <w:pPr>
        <w:ind w:left="0" w:right="0" w:firstLine="709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 Особые положения.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12. 1. </w:t>
      </w:r>
      <w:bookmarkStart w:id="28" w:name="_Ref361337900"/>
      <w:r>
        <w:rPr>
          <w:sz w:val="24"/>
          <w:szCs w:val="24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1"/>
          <w:numId w:val="10"/>
        </w:numPr>
        <w:ind w:left="0" w:right="0" w:firstLine="709"/>
        <w:jc w:val="both"/>
        <w:spacing w:line="276" w:lineRule="auto"/>
        <w:shd w:val="clear" w:color="auto" w:fill="ffff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имеющие признаки недобросовестности, опред</w:t>
      </w:r>
      <w:r>
        <w:rPr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sz w:val="24"/>
            <w:szCs w:val="24"/>
          </w:rPr>
          <w:t xml:space="preserve">№ 18162/09</w:t>
        </w:r>
      </w:hyperlink>
      <w:r>
        <w:rPr>
          <w:sz w:val="24"/>
          <w:szCs w:val="24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sz w:val="24"/>
            <w:szCs w:val="24"/>
          </w:rPr>
          <w:t xml:space="preserve">№ 15658/09</w:t>
        </w:r>
      </w:hyperlink>
      <w:r>
        <w:rPr>
          <w:sz w:val="24"/>
          <w:szCs w:val="24"/>
        </w:rPr>
        <w:t xml:space="preserve">, согласно которым при оценке необоснованной налоговой выгоды </w:t>
      </w:r>
      <w:r>
        <w:rPr>
          <w:sz w:val="24"/>
          <w:szCs w:val="24"/>
        </w:rPr>
        <w:t xml:space="preserve">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1"/>
          <w:numId w:val="10"/>
        </w:numPr>
        <w:ind w:left="0" w:right="0" w:firstLine="709"/>
        <w:jc w:val="both"/>
        <w:spacing w:line="276" w:lineRule="auto"/>
        <w:shd w:val="clear" w:color="auto" w:fill="ffff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соответствующие </w:t>
      </w:r>
      <w:hyperlink r:id="rId18" w:tooltip="consultantplus://offline/ref=79440D5123ABA6A25F43346AB59DBAAC7032C8E1556DA64FAED62E167F76889C2B7C475C32EFC59BJ8rDH" w:history="1">
        <w:r>
          <w:rPr>
            <w:sz w:val="24"/>
            <w:szCs w:val="24"/>
          </w:rPr>
          <w:t xml:space="preserve">Критери</w:t>
        </w:r>
      </w:hyperlink>
      <w:r>
        <w:rPr>
          <w:sz w:val="24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bookmarkStart w:id="29" w:name="_Ref361337921"/>
      <w:r>
        <w:rPr>
          <w:sz w:val="24"/>
          <w:szCs w:val="24"/>
        </w:rPr>
        <w:t xml:space="preserve">Подрядчик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30" w:name="_Ref361337948"/>
      <w:r>
        <w:rPr>
          <w:sz w:val="24"/>
          <w:szCs w:val="24"/>
        </w:rPr>
        <w:t xml:space="preserve">12.3. В случае нарушения Подрядчиком обязательств, установленных пунктами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.1,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sz w:val="24"/>
          <w:szCs w:val="24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sz w:val="24"/>
          <w:szCs w:val="24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bookmarkStart w:id="31" w:name="_Ref361337980"/>
      <w:r>
        <w:rPr>
          <w:sz w:val="24"/>
          <w:szCs w:val="24"/>
        </w:rPr>
        <w:t xml:space="preserve">Подрядчик обязан</w:t>
      </w:r>
      <w:r>
        <w:rPr>
          <w:sz w:val="24"/>
          <w:szCs w:val="24"/>
        </w:rPr>
        <w:t xml:space="preserve">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1.1, 1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.2 Договора.</w:t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bookmarkStart w:id="32" w:name="_Ref373243071"/>
      <w:r>
        <w:rPr>
          <w:sz w:val="24"/>
          <w:szCs w:val="24"/>
        </w:rPr>
        <w:t xml:space="preserve">Штраф, предусмотренный пунктом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.4 Договора, оплачивается Подрядчиком в течение 10 (деся</w:t>
      </w:r>
      <w:r>
        <w:rPr>
          <w:sz w:val="24"/>
          <w:szCs w:val="24"/>
        </w:rPr>
        <w:t xml:space="preserve">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.3 Договора.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33" w:name="_Ref361337992"/>
      <w:r>
        <w:rPr>
          <w:sz w:val="24"/>
          <w:szCs w:val="24"/>
        </w:rPr>
        <w:t xml:space="preserve">12.6. 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.4. Договора. При этом Заказчик не будет считаться просрочившим и / или нарушившим свои обязательства по Договору.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12.7. Независимо от других положений Договора, положения пунктов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.4,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 Заверения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spacing w:line="276" w:lineRule="auto"/>
        <w:shd w:val="clear" w:color="auto" w:fill="ffffff"/>
        <w:tabs>
          <w:tab w:val="left" w:pos="1418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ind w:left="0" w:right="0" w:firstLine="709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13.1. Каждая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7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7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7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по основаниям, установленным законодательством Российской Федерации и / или </w:t>
      </w:r>
      <w:r>
        <w:rPr>
          <w:sz w:val="24"/>
          <w:szCs w:val="24"/>
        </w:rPr>
        <w:t xml:space="preserve">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7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7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13.2. Подрядчик заявляет и заверяет Заказчика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9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учредителем / учредителями Подрядчика являются лица, не являющиеся массовыми учредителем / учредителями;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9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руководителем Подрядчика является лицо, не являющееся массовым руководителем;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9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9"/>
        </w:numPr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sz w:val="24"/>
          <w:szCs w:val="24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8"/>
        </w:numPr>
        <w:ind w:left="0" w:righ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13.3.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13.4. В случае, если Подрядчик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Подрядчик обязан по </w:t>
      </w:r>
      <w:r>
        <w:rPr>
          <w:sz w:val="24"/>
          <w:szCs w:val="24"/>
        </w:rPr>
        <w:t xml:space="preserve">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13.5. 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</w:pPr>
      <w:r>
        <w:rPr>
          <w:sz w:val="24"/>
          <w:szCs w:val="24"/>
        </w:rPr>
        <w:t xml:space="preserve">14. Прекращение (расторжение) Договора</w:t>
      </w:r>
      <w:r/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right="0" w:firstLine="709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14.1. Договор может быть прекращен (расторгнут) по соглашению Сторон. Сторона,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имеющая намерение расторгнуть Договор, направляет письменное уведомление об этом другой Стороне в порядке, предусмотренном пунктом 1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.6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14.2. Заказчик вправе в любое время до сдачи ему Результатов Работ в односторонне</w:t>
      </w:r>
      <w:r>
        <w:rPr>
          <w:sz w:val="24"/>
          <w:szCs w:val="24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14.3. 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14.4. Стороны установили, что существенным нарушением Договора Подрядчиком является: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начального, конечного, а также промежуточных сроков выполнения Работ по Договору более чем на 60</w:t>
      </w:r>
      <w:r>
        <w:rPr>
          <w:sz w:val="24"/>
          <w:szCs w:val="24"/>
        </w:rPr>
        <w:t xml:space="preserve"> (шестьдесят</w:t>
      </w:r>
      <w:r>
        <w:rPr>
          <w:sz w:val="24"/>
          <w:szCs w:val="24"/>
        </w:rPr>
        <w:t xml:space="preserve">) календарных дней по причинам, не зависящим от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несоблюдение Подрядчи</w:t>
      </w:r>
      <w:r>
        <w:rPr>
          <w:sz w:val="24"/>
          <w:szCs w:val="24"/>
        </w:rPr>
        <w:t xml:space="preserve">ком требов</w:t>
      </w:r>
      <w:r>
        <w:rPr>
          <w:sz w:val="24"/>
          <w:szCs w:val="24"/>
        </w:rPr>
        <w:t xml:space="preserve">аний к качеству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</w:t>
      </w:r>
      <w:r>
        <w:rPr>
          <w:sz w:val="24"/>
          <w:szCs w:val="24"/>
        </w:rPr>
        <w:t xml:space="preserve">) календарных дней либо такие недостатки являются неустранимыми;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6"/>
        </w:numPr>
        <w:ind w:left="0" w:right="0" w:firstLine="709"/>
        <w:jc w:val="both"/>
        <w:spacing w:line="276" w:lineRule="auto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установление в ходе исполнения Договора фактов несоответствия Подрядчика установленным д</w:t>
      </w:r>
      <w:r>
        <w:rPr>
          <w:sz w:val="24"/>
          <w:szCs w:val="24"/>
        </w:rPr>
        <w:t xml:space="preserve">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Договора, и имеющих существенное значение для его заключения и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14.5. В случае отказа Заказчика от Договора в случаях, предусмотренных пунктами 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.2, 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.3, 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14.6. 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16"/>
        </w:numPr>
        <w:ind w:left="0" w:right="0" w:firstLine="709"/>
        <w:jc w:val="both"/>
        <w:spacing w:line="276" w:lineRule="auto"/>
        <w:shd w:val="clear" w:color="auto" w:fill="ffff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16"/>
        </w:numPr>
        <w:ind w:left="0" w:right="0" w:firstLine="709"/>
        <w:jc w:val="both"/>
        <w:spacing w:line="276" w:lineRule="auto"/>
        <w:shd w:val="clear" w:color="auto" w:fill="ffff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вывезти с места производства Работ собственную строительную технику и персонал Подрядчика;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16"/>
        </w:numPr>
        <w:ind w:left="0" w:right="0" w:firstLine="709"/>
        <w:jc w:val="both"/>
        <w:spacing w:line="276" w:lineRule="auto"/>
        <w:shd w:val="clear" w:color="auto" w:fill="ffffff"/>
        <w:tabs>
          <w:tab w:val="left" w:pos="993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удалить с места производства Работ весь мусор и все остаточные продукты любого рода и оставить место производства работ чистым и безопасным.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14.7. 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sz w:val="24"/>
          <w:szCs w:val="24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15. Разрешение споров.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15.1. Все споры, разногласия и требования, возникающие между Сторонами из Договора или в связи с ним, в том числе, связанные с его исполнением, изменением, прекращением (расторжением) и / или действительностью, разрешаются путем переговоров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15.2. Споры, указанные в пункте 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sz w:val="24"/>
          <w:szCs w:val="24"/>
        </w:rPr>
        <w:t xml:space="preserve">Хабаровского края</w:t>
      </w:r>
      <w:r>
        <w:rPr>
          <w:sz w:val="24"/>
          <w:szCs w:val="24"/>
        </w:rPr>
        <w:t xml:space="preserve"> в соответствии с законодательством Российской Федерации,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15.3. Сторонами применяется </w:t>
      </w:r>
      <w:r>
        <w:rPr>
          <w:sz w:val="24"/>
          <w:szCs w:val="24"/>
        </w:rPr>
        <w:t xml:space="preserve">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,6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15.4.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15.5. Условия настоящего раздела сохраняют свою силу в случае признания Договора незаключенным и / или недействительным.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 Заключительные положения.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36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16.1. Договор вступает в силу с даты подписания обеими сторонам</w:t>
      </w:r>
      <w:r>
        <w:rPr>
          <w:sz w:val="24"/>
          <w:szCs w:val="24"/>
        </w:rPr>
        <w:t xml:space="preserve">и и действует по ______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г.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а в части неисполненных обязательств – до полного исполнения Сторонами.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16.2. Все изменения </w:t>
      </w:r>
      <w:r>
        <w:rPr>
          <w:sz w:val="24"/>
          <w:szCs w:val="24"/>
        </w:rP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16.6.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16.3.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16.4. 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600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16.5. </w:t>
      </w:r>
      <w:r>
        <w:rPr>
          <w:sz w:val="24"/>
          <w:szCs w:val="24"/>
        </w:rPr>
        <w:t xml:space="preserve">Обмен </w:t>
      </w:r>
      <w:r>
        <w:rPr>
          <w:sz w:val="24"/>
          <w:szCs w:val="24"/>
        </w:rPr>
        <w:t xml:space="preserve">информацией </w:t>
      </w:r>
      <w:r>
        <w:rPr>
          <w:sz w:val="24"/>
          <w:szCs w:val="24"/>
        </w:rPr>
        <w:t xml:space="preserve">между Сторонами по любым вопросам, связанным с </w:t>
      </w:r>
      <w:r>
        <w:rPr>
          <w:sz w:val="24"/>
          <w:szCs w:val="24"/>
        </w:rPr>
        <w:t xml:space="preserve">исполнением Договора</w:t>
      </w:r>
      <w:r>
        <w:rPr>
          <w:sz w:val="24"/>
          <w:szCs w:val="24"/>
        </w:rPr>
        <w:t xml:space="preserve">, включая уведомления и иные сообщения, осуществля</w:t>
      </w:r>
      <w:r>
        <w:rPr>
          <w:sz w:val="24"/>
          <w:szCs w:val="24"/>
        </w:rPr>
        <w:t xml:space="preserve">ет</w:t>
      </w:r>
      <w:r>
        <w:rPr>
          <w:sz w:val="24"/>
          <w:szCs w:val="24"/>
        </w:rPr>
        <w:t xml:space="preserve">ся только в письменной форме</w:t>
      </w:r>
      <w:r>
        <w:rPr>
          <w:sz w:val="24"/>
          <w:szCs w:val="24"/>
        </w:rPr>
        <w:t xml:space="preserve"> в порядке, предусмотренном пунктом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6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 Использование средств электронной связи не допускается, за исключением случаев оперативно</w:t>
      </w:r>
      <w:r>
        <w:rPr>
          <w:sz w:val="24"/>
          <w:szCs w:val="24"/>
        </w:rPr>
        <w:t xml:space="preserve">го обмена</w:t>
      </w:r>
      <w:r>
        <w:rPr>
          <w:sz w:val="24"/>
          <w:szCs w:val="24"/>
        </w:rPr>
        <w:t xml:space="preserve"> информацией, </w:t>
      </w:r>
      <w:r>
        <w:rPr>
          <w:sz w:val="24"/>
          <w:szCs w:val="24"/>
        </w:rPr>
        <w:t xml:space="preserve">которая </w:t>
      </w:r>
      <w:r>
        <w:rPr>
          <w:sz w:val="24"/>
          <w:szCs w:val="24"/>
        </w:rPr>
        <w:t xml:space="preserve">не влечет возникновения, изменения либо прекращения гражданских прав и </w:t>
      </w:r>
      <w:r>
        <w:rPr>
          <w:sz w:val="24"/>
          <w:szCs w:val="24"/>
        </w:rPr>
        <w:t xml:space="preserve">обязанностей</w:t>
      </w:r>
      <w:r>
        <w:rPr>
          <w:sz w:val="24"/>
          <w:szCs w:val="24"/>
        </w:rPr>
        <w:t xml:space="preserve"> Стороны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16.6. </w:t>
      </w:r>
      <w:bookmarkStart w:id="34" w:name="_Ref361338004"/>
      <w:r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Договора, не позднее 3 (трех) рабочих дней после такого изменения.</w:t>
      </w:r>
      <w:bookmarkEnd w:id="3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16.7. </w:t>
      </w:r>
      <w:bookmarkStart w:id="35" w:name="_Ref361338019"/>
      <w:r>
        <w:rPr>
          <w:sz w:val="24"/>
          <w:szCs w:val="24"/>
        </w:rPr>
        <w:t xml:space="preserve">Письма, уведомления и / или сообщения направляются Стороне-получателю по адресу ее места нахождения, указанному в разделе 1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Договора,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36" w:name="_Ref361338032"/>
      <w:r>
        <w:rPr>
          <w:sz w:val="24"/>
          <w:szCs w:val="24"/>
        </w:rPr>
        <w:t xml:space="preserve">16.7.1.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righ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16.7.2. заказным почтовым отп</w:t>
      </w:r>
      <w:r>
        <w:rPr>
          <w:sz w:val="24"/>
          <w:szCs w:val="24"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spacing w:line="276" w:lineRule="auto"/>
        <w:widowControl w:val="off"/>
        <w:rPr>
          <w:bCs/>
        </w:rPr>
      </w:pPr>
      <w:r>
        <w:rPr>
          <w:sz w:val="24"/>
          <w:szCs w:val="24"/>
        </w:rPr>
        <w:t xml:space="preserve">16.7.3. п</w:t>
      </w:r>
      <w:r>
        <w:rPr>
          <w:bCs/>
          <w:sz w:val="24"/>
          <w:szCs w:val="24"/>
        </w:rPr>
        <w:t xml:space="preserve">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020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16.</w:t>
      </w:r>
      <w:r>
        <w:rPr>
          <w:bCs/>
          <w:highlight w:val="white"/>
        </w:rPr>
        <w:t xml:space="preserve">7.1 – 16.</w:t>
      </w:r>
      <w:r>
        <w:rPr>
          <w:bCs/>
          <w:highlight w:val="white"/>
        </w:rPr>
        <w:t xml:space="preserve">7.2</w:t>
      </w:r>
      <w:r>
        <w:rPr>
          <w:bCs/>
          <w:highlight w:val="white"/>
        </w:rPr>
        <w:t xml:space="preserve"> </w:t>
      </w:r>
      <w:r>
        <w:rPr>
          <w:bCs/>
        </w:rPr>
        <w:t xml:space="preserve">Договора. </w:t>
      </w:r>
      <w:r>
        <w:rPr>
          <w:bCs/>
        </w:rPr>
      </w:r>
      <w:r>
        <w:rPr>
          <w:bCs/>
        </w:rPr>
      </w:r>
    </w:p>
    <w:p>
      <w:pPr>
        <w:ind w:left="0" w:right="0" w:firstLine="709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16.8. 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16.9. Во избежание сомнений, кроме случаев, ког</w:t>
      </w:r>
      <w:r>
        <w:rPr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16.9.  </w:t>
      </w: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600"/>
        <w:spacing w:line="276" w:lineRule="auto"/>
        <w:rPr>
          <w:highlight w:val="none"/>
        </w:rPr>
      </w:pPr>
      <w:r>
        <w:rPr>
          <w:sz w:val="24"/>
          <w:szCs w:val="24"/>
          <w:highlight w:val="none"/>
        </w:rPr>
        <w:t xml:space="preserve">16.10.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600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16.11. Во 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600"/>
        <w:spacing w:line="276" w:lineRule="auto"/>
        <w:rPr>
          <w:highlight w:val="none"/>
        </w:rPr>
      </w:pPr>
      <w:r>
        <w:rPr>
          <w:highlight w:val="none"/>
        </w:rPr>
      </w:r>
      <w:r>
        <w:rPr>
          <w:sz w:val="24"/>
          <w:szCs w:val="24"/>
        </w:rPr>
        <w:t xml:space="preserve">16.12.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</w:pPr>
      <w:r>
        <w:rPr>
          <w:sz w:val="24"/>
          <w:szCs w:val="24"/>
        </w:rPr>
        <w:t xml:space="preserve">17. Список приложений</w:t>
      </w:r>
      <w:r/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p>
      <w:pPr>
        <w:pStyle w:val="1020"/>
        <w:ind w:left="0"/>
        <w:jc w:val="both"/>
        <w:spacing w:line="276" w:lineRule="auto"/>
        <w:shd w:val="clear" w:color="auto" w:fill="ffffff"/>
        <w:widowControl w:val="off"/>
      </w:pPr>
      <w:r>
        <w:t xml:space="preserve">Приложение № 1 – </w:t>
      </w:r>
      <w:r>
        <w:t xml:space="preserve">Техническое задание с приложениями </w:t>
      </w:r>
      <w:r>
        <w:t xml:space="preserve">1.</w:t>
      </w:r>
      <w:r>
        <w:t xml:space="preserve">1</w:t>
      </w:r>
      <w:r>
        <w:t xml:space="preserve">, 1.2</w:t>
      </w:r>
      <w:r>
        <w:t xml:space="preserve">, </w:t>
      </w:r>
      <w:r>
        <w:t xml:space="preserve">1.3</w:t>
      </w:r>
      <w:r>
        <w:t xml:space="preserve">;</w:t>
      </w:r>
      <w:r/>
    </w:p>
    <w:p>
      <w:pPr>
        <w:pStyle w:val="1020"/>
        <w:ind w:left="0"/>
        <w:jc w:val="both"/>
        <w:spacing w:line="276" w:lineRule="auto"/>
        <w:shd w:val="clear" w:color="auto" w:fill="ffffff"/>
        <w:rPr>
          <w:highlight w:val="white"/>
        </w:rPr>
      </w:pPr>
      <w:r>
        <w:rPr>
          <w:highlight w:val="white"/>
        </w:rPr>
        <w:t xml:space="preserve">Приложение № 2 – </w:t>
      </w:r>
      <w:r>
        <w:rPr>
          <w:highlight w:val="white"/>
        </w:rPr>
        <w:t xml:space="preserve">Локальный сметный расчет № 100-005-06-КР-26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 3</w:t>
      </w:r>
      <w:r>
        <w:t xml:space="preserve"> – </w:t>
      </w:r>
      <w:r>
        <w:t xml:space="preserve">Форма Акта сдачи-приемки </w:t>
      </w:r>
      <w:r>
        <w:t xml:space="preserve">место производства работ, </w:t>
      </w:r>
      <w:r>
        <w:t xml:space="preserve">(помещения) для складирования Материально-технических ресурсов</w:t>
      </w:r>
      <w:r>
        <w:t xml:space="preserve">;</w:t>
      </w:r>
      <w:r/>
    </w:p>
    <w:p>
      <w:pPr>
        <w:ind w:firstLine="0"/>
        <w:spacing w:line="276" w:lineRule="auto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3.1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</w:t>
      </w:r>
      <w:r>
        <w:rPr>
          <w:sz w:val="24"/>
          <w:szCs w:val="24"/>
        </w:rPr>
        <w:t xml:space="preserve">орма </w:t>
      </w:r>
      <w:r>
        <w:rPr>
          <w:sz w:val="24"/>
          <w:szCs w:val="24"/>
        </w:rPr>
        <w:t xml:space="preserve">Акта сдачи-приемки технической и иной документации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 4 –</w:t>
      </w:r>
      <w:r>
        <w:t xml:space="preserve"> Размер ответственности Подрядчика за нарушения пропускного и </w:t>
      </w:r>
      <w:r>
        <w:t xml:space="preserve">внутриобъектового</w:t>
      </w:r>
      <w:r>
        <w:t xml:space="preserve"> режима, требований охраны труда, пожарной и промышленной безопасности;</w:t>
      </w:r>
      <w:r/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 </w:t>
      </w:r>
      <w:r>
        <w:t xml:space="preserve">5 – </w:t>
      </w:r>
      <w:r>
        <w:t xml:space="preserve">Форма справки</w:t>
      </w:r>
      <w:r>
        <w:rPr>
          <w:color w:val="000000"/>
        </w:rPr>
        <w:t xml:space="preserve"> </w:t>
      </w:r>
      <w:r>
        <w:t xml:space="preserve">о заключенных договорах Подрядчика по договору с Субподрядчиками, </w:t>
      </w:r>
      <w:r>
        <w:t xml:space="preserve">являющимися субъектами малого</w:t>
      </w:r>
      <w:r>
        <w:t xml:space="preserve"> и среднего предпринимательства;</w:t>
      </w:r>
      <w:r/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</w:t>
      </w:r>
      <w:r>
        <w:t xml:space="preserve"> </w:t>
      </w:r>
      <w:r>
        <w:t xml:space="preserve">6 </w:t>
      </w:r>
      <w:r>
        <w:t xml:space="preserve">- </w:t>
      </w:r>
      <w:r>
        <w:t xml:space="preserve">Перечень допусков, разрешений и лицензий Подрядчика</w:t>
      </w:r>
      <w:r>
        <w:t xml:space="preserve">.</w:t>
      </w:r>
      <w:r/>
    </w:p>
    <w:p>
      <w:pPr>
        <w:pStyle w:val="1020"/>
        <w:ind w:left="0"/>
        <w:jc w:val="both"/>
        <w:spacing w:line="276" w:lineRule="auto"/>
        <w:shd w:val="clear" w:color="auto" w:fill="ffffff"/>
        <w:tabs>
          <w:tab w:val="left" w:pos="2268" w:leader="none"/>
        </w:tabs>
      </w:pPr>
      <w:r>
        <w:t xml:space="preserve">Приложение № 7 - </w:t>
      </w:r>
      <w:r>
        <w:t xml:space="preserve">Форма КС-2;</w:t>
      </w:r>
      <w:r/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 8 - </w:t>
      </w:r>
      <w:r>
        <w:t xml:space="preserve">Форма КС-3;</w:t>
      </w:r>
      <w:r/>
    </w:p>
    <w:p>
      <w:pPr>
        <w:pStyle w:val="1020"/>
        <w:ind w:left="0"/>
        <w:jc w:val="both"/>
        <w:spacing w:line="276" w:lineRule="auto"/>
        <w:shd w:val="clear" w:color="auto" w:fill="ffffff"/>
      </w:pPr>
      <w:r>
        <w:t xml:space="preserve">Приложение № 9 - </w:t>
      </w:r>
      <w:r>
        <w:t xml:space="preserve">Акт об оприходовании материальных ценностей;</w:t>
      </w:r>
      <w:r/>
    </w:p>
    <w:p>
      <w:pPr>
        <w:pStyle w:val="1020"/>
        <w:ind w:left="0"/>
        <w:jc w:val="both"/>
        <w:spacing w:line="276" w:lineRule="auto"/>
        <w:shd w:val="clear" w:color="auto" w:fill="ffffff"/>
        <w:rPr>
          <w:highlight w:val="none"/>
        </w:rPr>
      </w:pPr>
      <w:r>
        <w:t xml:space="preserve">Приложение №10 –</w:t>
      </w:r>
      <w:r>
        <w:t xml:space="preserve">  </w:t>
      </w:r>
      <w:r>
        <w:t xml:space="preserve">График</w:t>
      </w:r>
      <w:r>
        <w:t xml:space="preserve"> производства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020"/>
        <w:ind w:left="0"/>
        <w:jc w:val="both"/>
        <w:spacing w:line="276" w:lineRule="auto"/>
        <w:shd w:val="clear" w:color="auto" w:fill="ffffff"/>
      </w:pPr>
      <w:r/>
      <w:r/>
    </w:p>
    <w:p>
      <w:p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 Адреса и платежные реквизиты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/>
        <w:spacing w:line="276" w:lineRule="auto"/>
        <w:shd w:val="clear" w:color="auto" w:fill="ffffff"/>
        <w:tabs>
          <w:tab w:val="left" w:pos="426" w:leader="none"/>
        </w:tabs>
      </w:pPr>
      <w:r/>
      <w:r/>
    </w:p>
    <w:tbl>
      <w:tblPr>
        <w:tblW w:w="9890" w:type="dxa"/>
        <w:tblLook w:val="01E0" w:firstRow="1" w:lastRow="1" w:firstColumn="1" w:lastColumn="1" w:noHBand="0" w:noVBand="0"/>
      </w:tblPr>
      <w:tblGrid>
        <w:gridCol w:w="4928"/>
        <w:gridCol w:w="4962"/>
      </w:tblGrid>
      <w:tr>
        <w:tblPrEx/>
        <w:trPr/>
        <w:tc>
          <w:tcPr>
            <w:shd w:val="clear" w:color="auto" w:fill="auto"/>
            <w:tcW w:w="4928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62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76" w:lineRule="auto"/>
        <w:rPr>
          <w:sz w:val="24"/>
          <w:szCs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568" w:right="794" w:bottom="709" w:left="1418" w:header="709" w:footer="123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headerReference w:type="default" r:id="rId9"/>
      <w:footerReference w:type="default" r:id="rId11"/>
      <w:footnotePr/>
      <w:endnotePr/>
      <w:type w:val="nextPage"/>
      <w:pgSz w:w="11906" w:h="16838" w:orient="portrait"/>
      <w:pgMar w:top="567" w:right="1418" w:bottom="567" w:left="56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  <w:jc w:val="right"/>
    </w:pPr>
    <w:r/>
    <w:r/>
  </w:p>
  <w:p>
    <w:pPr>
      <w:pStyle w:val="1036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30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10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 w:cs="Times New Roman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05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5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5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5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0" w:hanging="360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8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603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13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43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93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16" w:hanging="144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pStyle w:val="102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2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2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pStyle w:val="102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4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55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56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5"/>
  </w:num>
  <w:num w:numId="3">
    <w:abstractNumId w:val="25"/>
  </w:num>
  <w:num w:numId="4">
    <w:abstractNumId w:val="14"/>
  </w:num>
  <w:num w:numId="5">
    <w:abstractNumId w:val="0"/>
  </w:num>
  <w:num w:numId="6">
    <w:abstractNumId w:val="11"/>
  </w:num>
  <w:num w:numId="7">
    <w:abstractNumId w:val="23"/>
  </w:num>
  <w:num w:numId="8">
    <w:abstractNumId w:val="17"/>
  </w:num>
  <w:num w:numId="9">
    <w:abstractNumId w:val="30"/>
  </w:num>
  <w:num w:numId="10">
    <w:abstractNumId w:val="20"/>
  </w:num>
  <w:num w:numId="11">
    <w:abstractNumId w:val="19"/>
  </w:num>
  <w:num w:numId="12">
    <w:abstractNumId w:val="6"/>
  </w:num>
  <w:num w:numId="13">
    <w:abstractNumId w:val="7"/>
  </w:num>
  <w:num w:numId="14">
    <w:abstractNumId w:val="22"/>
  </w:num>
  <w:num w:numId="15">
    <w:abstractNumId w:val="28"/>
  </w:num>
  <w:num w:numId="16">
    <w:abstractNumId w:val="4"/>
  </w:num>
  <w:num w:numId="17">
    <w:abstractNumId w:val="37"/>
  </w:num>
  <w:num w:numId="18">
    <w:abstractNumId w:val="34"/>
  </w:num>
  <w:num w:numId="19">
    <w:abstractNumId w:val="31"/>
  </w:num>
  <w:num w:numId="20">
    <w:abstractNumId w:val="12"/>
  </w:num>
  <w:num w:numId="21">
    <w:abstractNumId w:val="13"/>
  </w:num>
  <w:num w:numId="22">
    <w:abstractNumId w:val="18"/>
  </w:num>
  <w:num w:numId="23">
    <w:abstractNumId w:val="26"/>
  </w:num>
  <w:num w:numId="24">
    <w:abstractNumId w:val="33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9"/>
  </w:num>
  <w:num w:numId="28">
    <w:abstractNumId w:val="24"/>
  </w:num>
  <w:num w:numId="29">
    <w:abstractNumId w:val="36"/>
  </w:num>
  <w:num w:numId="30">
    <w:abstractNumId w:val="8"/>
  </w:num>
  <w:num w:numId="31">
    <w:abstractNumId w:val="32"/>
  </w:num>
  <w:num w:numId="32">
    <w:abstractNumId w:val="21"/>
  </w:num>
  <w:num w:numId="33">
    <w:abstractNumId w:val="5"/>
  </w:num>
  <w:num w:numId="34">
    <w:abstractNumId w:val="1"/>
  </w:num>
  <w:num w:numId="35">
    <w:abstractNumId w:val="15"/>
  </w:num>
  <w:num w:numId="36">
    <w:abstractNumId w:val="10"/>
  </w:num>
  <w:num w:numId="37">
    <w:abstractNumId w:val="2"/>
  </w:num>
  <w:num w:numId="38">
    <w:abstractNumId w:val="16"/>
  </w:num>
  <w:num w:numId="39">
    <w:abstractNumId w:val="29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3">
    <w:name w:val="Heading 1 Char"/>
    <w:basedOn w:val="1001"/>
    <w:link w:val="998"/>
    <w:uiPriority w:val="9"/>
    <w:rPr>
      <w:rFonts w:ascii="Arial" w:hAnsi="Arial" w:eastAsia="Arial" w:cs="Arial"/>
      <w:sz w:val="40"/>
      <w:szCs w:val="40"/>
    </w:rPr>
  </w:style>
  <w:style w:type="character" w:styleId="834">
    <w:name w:val="Heading 2 Char"/>
    <w:basedOn w:val="1001"/>
    <w:link w:val="999"/>
    <w:uiPriority w:val="9"/>
    <w:rPr>
      <w:rFonts w:ascii="Arial" w:hAnsi="Arial" w:eastAsia="Arial" w:cs="Arial"/>
      <w:sz w:val="34"/>
    </w:rPr>
  </w:style>
  <w:style w:type="character" w:styleId="835">
    <w:name w:val="Heading 3 Char"/>
    <w:basedOn w:val="1001"/>
    <w:link w:val="1000"/>
    <w:uiPriority w:val="9"/>
    <w:rPr>
      <w:rFonts w:ascii="Arial" w:hAnsi="Arial" w:eastAsia="Arial" w:cs="Arial"/>
      <w:sz w:val="30"/>
      <w:szCs w:val="30"/>
    </w:rPr>
  </w:style>
  <w:style w:type="paragraph" w:styleId="836">
    <w:name w:val="Heading 4"/>
    <w:basedOn w:val="997"/>
    <w:next w:val="997"/>
    <w:link w:val="8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7">
    <w:name w:val="Heading 4 Char"/>
    <w:basedOn w:val="1001"/>
    <w:link w:val="836"/>
    <w:uiPriority w:val="9"/>
    <w:rPr>
      <w:rFonts w:ascii="Arial" w:hAnsi="Arial" w:eastAsia="Arial" w:cs="Arial"/>
      <w:b/>
      <w:bCs/>
      <w:sz w:val="26"/>
      <w:szCs w:val="26"/>
    </w:rPr>
  </w:style>
  <w:style w:type="paragraph" w:styleId="838">
    <w:name w:val="Heading 5"/>
    <w:basedOn w:val="997"/>
    <w:next w:val="997"/>
    <w:link w:val="8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9">
    <w:name w:val="Heading 5 Char"/>
    <w:basedOn w:val="1001"/>
    <w:link w:val="838"/>
    <w:uiPriority w:val="9"/>
    <w:rPr>
      <w:rFonts w:ascii="Arial" w:hAnsi="Arial" w:eastAsia="Arial" w:cs="Arial"/>
      <w:b/>
      <w:bCs/>
      <w:sz w:val="24"/>
      <w:szCs w:val="24"/>
    </w:rPr>
  </w:style>
  <w:style w:type="paragraph" w:styleId="840">
    <w:name w:val="Heading 6"/>
    <w:basedOn w:val="997"/>
    <w:next w:val="997"/>
    <w:link w:val="8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1">
    <w:name w:val="Heading 6 Char"/>
    <w:basedOn w:val="1001"/>
    <w:link w:val="840"/>
    <w:uiPriority w:val="9"/>
    <w:rPr>
      <w:rFonts w:ascii="Arial" w:hAnsi="Arial" w:eastAsia="Arial" w:cs="Arial"/>
      <w:b/>
      <w:bCs/>
      <w:sz w:val="22"/>
      <w:szCs w:val="22"/>
    </w:rPr>
  </w:style>
  <w:style w:type="paragraph" w:styleId="842">
    <w:name w:val="Heading 7"/>
    <w:basedOn w:val="997"/>
    <w:next w:val="997"/>
    <w:link w:val="8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3">
    <w:name w:val="Heading 7 Char"/>
    <w:basedOn w:val="1001"/>
    <w:link w:val="8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4">
    <w:name w:val="Heading 8"/>
    <w:basedOn w:val="997"/>
    <w:next w:val="997"/>
    <w:link w:val="8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5">
    <w:name w:val="Heading 8 Char"/>
    <w:basedOn w:val="1001"/>
    <w:link w:val="844"/>
    <w:uiPriority w:val="9"/>
    <w:rPr>
      <w:rFonts w:ascii="Arial" w:hAnsi="Arial" w:eastAsia="Arial" w:cs="Arial"/>
      <w:i/>
      <w:iCs/>
      <w:sz w:val="22"/>
      <w:szCs w:val="22"/>
    </w:rPr>
  </w:style>
  <w:style w:type="paragraph" w:styleId="846">
    <w:name w:val="Heading 9"/>
    <w:basedOn w:val="997"/>
    <w:next w:val="997"/>
    <w:link w:val="8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7">
    <w:name w:val="Heading 9 Char"/>
    <w:basedOn w:val="1001"/>
    <w:link w:val="846"/>
    <w:uiPriority w:val="9"/>
    <w:rPr>
      <w:rFonts w:ascii="Arial" w:hAnsi="Arial" w:eastAsia="Arial" w:cs="Arial"/>
      <w:i/>
      <w:iCs/>
      <w:sz w:val="21"/>
      <w:szCs w:val="21"/>
    </w:rPr>
  </w:style>
  <w:style w:type="paragraph" w:styleId="848">
    <w:name w:val="No Spacing"/>
    <w:uiPriority w:val="1"/>
    <w:qFormat/>
    <w:pPr>
      <w:spacing w:before="0" w:after="0" w:line="240" w:lineRule="auto"/>
    </w:pPr>
  </w:style>
  <w:style w:type="character" w:styleId="849">
    <w:name w:val="Title Char"/>
    <w:basedOn w:val="1001"/>
    <w:link w:val="1040"/>
    <w:uiPriority w:val="10"/>
    <w:rPr>
      <w:sz w:val="48"/>
      <w:szCs w:val="48"/>
    </w:rPr>
  </w:style>
  <w:style w:type="paragraph" w:styleId="850">
    <w:name w:val="Subtitle"/>
    <w:basedOn w:val="997"/>
    <w:next w:val="997"/>
    <w:link w:val="851"/>
    <w:uiPriority w:val="11"/>
    <w:qFormat/>
    <w:pPr>
      <w:spacing w:before="200" w:after="200"/>
    </w:pPr>
    <w:rPr>
      <w:sz w:val="24"/>
      <w:szCs w:val="24"/>
    </w:rPr>
  </w:style>
  <w:style w:type="character" w:styleId="851">
    <w:name w:val="Subtitle Char"/>
    <w:basedOn w:val="1001"/>
    <w:link w:val="850"/>
    <w:uiPriority w:val="11"/>
    <w:rPr>
      <w:sz w:val="24"/>
      <w:szCs w:val="24"/>
    </w:rPr>
  </w:style>
  <w:style w:type="paragraph" w:styleId="852">
    <w:name w:val="Quote"/>
    <w:basedOn w:val="997"/>
    <w:next w:val="997"/>
    <w:link w:val="853"/>
    <w:uiPriority w:val="29"/>
    <w:qFormat/>
    <w:pPr>
      <w:ind w:left="720" w:right="720"/>
    </w:pPr>
    <w:rPr>
      <w:i/>
    </w:rPr>
  </w:style>
  <w:style w:type="character" w:styleId="853">
    <w:name w:val="Quote Char"/>
    <w:link w:val="852"/>
    <w:uiPriority w:val="29"/>
    <w:rPr>
      <w:i/>
    </w:rPr>
  </w:style>
  <w:style w:type="paragraph" w:styleId="854">
    <w:name w:val="Intense Quote"/>
    <w:basedOn w:val="997"/>
    <w:next w:val="997"/>
    <w:link w:val="8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5">
    <w:name w:val="Intense Quote Char"/>
    <w:link w:val="854"/>
    <w:uiPriority w:val="30"/>
    <w:rPr>
      <w:i/>
    </w:rPr>
  </w:style>
  <w:style w:type="character" w:styleId="856">
    <w:name w:val="Header Char"/>
    <w:basedOn w:val="1001"/>
    <w:link w:val="1005"/>
    <w:uiPriority w:val="99"/>
  </w:style>
  <w:style w:type="character" w:styleId="857">
    <w:name w:val="Footer Char"/>
    <w:basedOn w:val="1001"/>
    <w:link w:val="1036"/>
    <w:uiPriority w:val="99"/>
  </w:style>
  <w:style w:type="character" w:styleId="858">
    <w:name w:val="Caption Char"/>
    <w:basedOn w:val="1048"/>
    <w:link w:val="1036"/>
    <w:uiPriority w:val="99"/>
  </w:style>
  <w:style w:type="table" w:styleId="859">
    <w:name w:val="Table Grid Light"/>
    <w:basedOn w:val="10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10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10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10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8">
    <w:name w:val="List Table 7 Colorful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9">
    <w:name w:val="List Table 7 Colorful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0">
    <w:name w:val="List Table 7 Colorful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1">
    <w:name w:val="List Table 7 Colorful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2">
    <w:name w:val="List Table 7 Colorful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3">
    <w:name w:val="Lined - Accent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Lined - Accent 2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Lined - Accent 3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Lined - Accent 4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Lined - Accent 5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Lined - Accent 6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 &amp; Lined - Accent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2">
    <w:name w:val="Bordered &amp; Lined - Accent 2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3">
    <w:name w:val="Bordered &amp; Lined - Accent 3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4">
    <w:name w:val="Bordered &amp; Lined - Accent 4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5">
    <w:name w:val="Bordered &amp; Lined - Accent 5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6">
    <w:name w:val="Bordered &amp; Lined - Accent 6"/>
    <w:basedOn w:val="10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7">
    <w:name w:val="Bordered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10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10"/>
    <w:uiPriority w:val="99"/>
    <w:rPr>
      <w:sz w:val="18"/>
    </w:rPr>
  </w:style>
  <w:style w:type="character" w:styleId="985">
    <w:name w:val="Endnote Text Char"/>
    <w:link w:val="1057"/>
    <w:uiPriority w:val="99"/>
    <w:rPr>
      <w:sz w:val="20"/>
    </w:rPr>
  </w:style>
  <w:style w:type="paragraph" w:styleId="986">
    <w:name w:val="toc 1"/>
    <w:basedOn w:val="997"/>
    <w:next w:val="997"/>
    <w:uiPriority w:val="39"/>
    <w:unhideWhenUsed/>
    <w:pPr>
      <w:ind w:left="0" w:right="0" w:firstLine="0"/>
      <w:spacing w:after="57"/>
    </w:pPr>
  </w:style>
  <w:style w:type="paragraph" w:styleId="987">
    <w:name w:val="toc 2"/>
    <w:basedOn w:val="997"/>
    <w:next w:val="997"/>
    <w:uiPriority w:val="39"/>
    <w:unhideWhenUsed/>
    <w:pPr>
      <w:ind w:left="283" w:right="0" w:firstLine="0"/>
      <w:spacing w:after="57"/>
    </w:pPr>
  </w:style>
  <w:style w:type="paragraph" w:styleId="988">
    <w:name w:val="toc 3"/>
    <w:basedOn w:val="997"/>
    <w:next w:val="997"/>
    <w:uiPriority w:val="39"/>
    <w:unhideWhenUsed/>
    <w:pPr>
      <w:ind w:left="567" w:right="0" w:firstLine="0"/>
      <w:spacing w:after="57"/>
    </w:pPr>
  </w:style>
  <w:style w:type="paragraph" w:styleId="989">
    <w:name w:val="toc 4"/>
    <w:basedOn w:val="997"/>
    <w:next w:val="997"/>
    <w:uiPriority w:val="39"/>
    <w:unhideWhenUsed/>
    <w:pPr>
      <w:ind w:left="850" w:right="0" w:firstLine="0"/>
      <w:spacing w:after="57"/>
    </w:pPr>
  </w:style>
  <w:style w:type="paragraph" w:styleId="990">
    <w:name w:val="toc 5"/>
    <w:basedOn w:val="997"/>
    <w:next w:val="997"/>
    <w:uiPriority w:val="39"/>
    <w:unhideWhenUsed/>
    <w:pPr>
      <w:ind w:left="1134" w:right="0" w:firstLine="0"/>
      <w:spacing w:after="57"/>
    </w:pPr>
  </w:style>
  <w:style w:type="paragraph" w:styleId="991">
    <w:name w:val="toc 6"/>
    <w:basedOn w:val="997"/>
    <w:next w:val="997"/>
    <w:uiPriority w:val="39"/>
    <w:unhideWhenUsed/>
    <w:pPr>
      <w:ind w:left="1417" w:right="0" w:firstLine="0"/>
      <w:spacing w:after="57"/>
    </w:pPr>
  </w:style>
  <w:style w:type="paragraph" w:styleId="992">
    <w:name w:val="toc 7"/>
    <w:basedOn w:val="997"/>
    <w:next w:val="997"/>
    <w:uiPriority w:val="39"/>
    <w:unhideWhenUsed/>
    <w:pPr>
      <w:ind w:left="1701" w:right="0" w:firstLine="0"/>
      <w:spacing w:after="57"/>
    </w:pPr>
  </w:style>
  <w:style w:type="paragraph" w:styleId="993">
    <w:name w:val="toc 8"/>
    <w:basedOn w:val="997"/>
    <w:next w:val="997"/>
    <w:uiPriority w:val="39"/>
    <w:unhideWhenUsed/>
    <w:pPr>
      <w:ind w:left="1984" w:right="0" w:firstLine="0"/>
      <w:spacing w:after="57"/>
    </w:pPr>
  </w:style>
  <w:style w:type="paragraph" w:styleId="994">
    <w:name w:val="toc 9"/>
    <w:basedOn w:val="997"/>
    <w:next w:val="997"/>
    <w:uiPriority w:val="39"/>
    <w:unhideWhenUsed/>
    <w:pPr>
      <w:ind w:left="2268" w:right="0" w:firstLine="0"/>
      <w:spacing w:after="57"/>
    </w:pPr>
  </w:style>
  <w:style w:type="paragraph" w:styleId="995">
    <w:name w:val="TOC Heading"/>
    <w:uiPriority w:val="39"/>
    <w:unhideWhenUsed/>
  </w:style>
  <w:style w:type="paragraph" w:styleId="996">
    <w:name w:val="table of figures"/>
    <w:basedOn w:val="997"/>
    <w:next w:val="997"/>
    <w:uiPriority w:val="99"/>
    <w:unhideWhenUsed/>
    <w:pPr>
      <w:spacing w:after="0" w:afterAutospacing="0"/>
    </w:pPr>
  </w:style>
  <w:style w:type="paragraph" w:styleId="99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8">
    <w:name w:val="Heading 1"/>
    <w:basedOn w:val="997"/>
    <w:next w:val="997"/>
    <w:link w:val="104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9">
    <w:name w:val="Heading 2"/>
    <w:basedOn w:val="997"/>
    <w:next w:val="997"/>
    <w:link w:val="104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00">
    <w:name w:val="Heading 3"/>
    <w:basedOn w:val="997"/>
    <w:next w:val="997"/>
    <w:link w:val="101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01" w:default="1">
    <w:name w:val="Default Paragraph Font"/>
    <w:uiPriority w:val="1"/>
    <w:semiHidden/>
    <w:unhideWhenUsed/>
  </w:style>
  <w:style w:type="table" w:styleId="10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3" w:default="1">
    <w:name w:val="No List"/>
    <w:uiPriority w:val="99"/>
    <w:semiHidden/>
    <w:unhideWhenUsed/>
  </w:style>
  <w:style w:type="paragraph" w:styleId="1004">
    <w:name w:val="Body Text 3"/>
    <w:basedOn w:val="997"/>
    <w:link w:val="103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05">
    <w:name w:val="Header"/>
    <w:basedOn w:val="997"/>
    <w:link w:val="1062"/>
    <w:uiPriority w:val="99"/>
    <w:pPr>
      <w:tabs>
        <w:tab w:val="center" w:pos="4677" w:leader="none"/>
        <w:tab w:val="right" w:pos="9355" w:leader="none"/>
      </w:tabs>
    </w:pPr>
  </w:style>
  <w:style w:type="paragraph" w:styleId="1006">
    <w:name w:val="Body Text"/>
    <w:basedOn w:val="997"/>
    <w:pPr>
      <w:spacing w:after="120"/>
    </w:pPr>
  </w:style>
  <w:style w:type="paragraph" w:styleId="1007" w:customStyle="1">
    <w:name w:val="Style1"/>
    <w:basedOn w:val="99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8">
    <w:name w:val="Body Text 2"/>
    <w:basedOn w:val="99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9" w:customStyle="1">
    <w:name w:val="Знак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>
    <w:name w:val="footnote text"/>
    <w:basedOn w:val="997"/>
    <w:link w:val="105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11">
    <w:name w:val="footnote reference"/>
    <w:uiPriority w:val="99"/>
    <w:rPr>
      <w:vertAlign w:val="superscript"/>
    </w:rPr>
  </w:style>
  <w:style w:type="table" w:styleId="1012">
    <w:name w:val="Table Grid"/>
    <w:basedOn w:val="1002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 w:customStyle="1">
    <w:name w:val="Знак Знак Знак Знак Знак Знак Знак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4" w:customStyle="1">
    <w:name w:val="Знак2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5" w:customStyle="1">
    <w:name w:val="Знак Знак Знак Знак Знак Знак Знак Знак Знак"/>
    <w:basedOn w:val="99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6" w:customStyle="1">
    <w:name w:val="Пункт договора"/>
    <w:basedOn w:val="99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7" w:customStyle="1">
    <w:name w:val="Подпункт договора"/>
    <w:basedOn w:val="99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8">
    <w:name w:val="Body Text Indent 3"/>
    <w:basedOn w:val="997"/>
    <w:pPr>
      <w:ind w:left="283"/>
      <w:spacing w:after="120"/>
    </w:pPr>
    <w:rPr>
      <w:sz w:val="16"/>
      <w:szCs w:val="16"/>
    </w:rPr>
  </w:style>
  <w:style w:type="character" w:styleId="1019" w:customStyle="1">
    <w:name w:val="Заголовок 3 Знак"/>
    <w:link w:val="1000"/>
    <w:uiPriority w:val="9"/>
    <w:rPr>
      <w:b/>
      <w:sz w:val="28"/>
    </w:rPr>
  </w:style>
  <w:style w:type="paragraph" w:styleId="1020">
    <w:name w:val="List Paragraph"/>
    <w:basedOn w:val="997"/>
    <w:link w:val="106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21" w:customStyle="1">
    <w:name w:val="1. Статья"/>
    <w:basedOn w:val="1000"/>
    <w:link w:val="102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22" w:customStyle="1">
    <w:name w:val="2. Пункт"/>
    <w:basedOn w:val="100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23" w:customStyle="1">
    <w:name w:val="3. Подпункт"/>
    <w:basedOn w:val="1000"/>
    <w:link w:val="102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24" w:customStyle="1">
    <w:name w:val="3. Подпункт Знак"/>
    <w:link w:val="1023"/>
    <w:rPr>
      <w:b/>
      <w:bCs/>
      <w:sz w:val="24"/>
      <w:szCs w:val="24"/>
    </w:rPr>
  </w:style>
  <w:style w:type="paragraph" w:styleId="102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6">
    <w:name w:val="Balloon Text"/>
    <w:basedOn w:val="997"/>
    <w:link w:val="1027"/>
    <w:pPr>
      <w:spacing w:line="240" w:lineRule="auto"/>
    </w:pPr>
    <w:rPr>
      <w:rFonts w:ascii="Tahoma" w:hAnsi="Tahoma"/>
      <w:sz w:val="16"/>
      <w:szCs w:val="16"/>
    </w:rPr>
  </w:style>
  <w:style w:type="character" w:styleId="1027" w:customStyle="1">
    <w:name w:val="Текст выноски Знак"/>
    <w:link w:val="1026"/>
    <w:rPr>
      <w:rFonts w:ascii="Tahoma" w:hAnsi="Tahoma" w:cs="Tahoma"/>
      <w:sz w:val="16"/>
      <w:szCs w:val="16"/>
    </w:rPr>
  </w:style>
  <w:style w:type="character" w:styleId="1028" w:customStyle="1">
    <w:name w:val="1. Статья Знак"/>
    <w:link w:val="1021"/>
    <w:rPr>
      <w:sz w:val="24"/>
      <w:szCs w:val="24"/>
    </w:rPr>
  </w:style>
  <w:style w:type="paragraph" w:styleId="1029" w:customStyle="1">
    <w:name w:val="4. Отчерк"/>
    <w:basedOn w:val="997"/>
    <w:link w:val="103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30" w:customStyle="1">
    <w:name w:val="4. Отчерк Знак"/>
    <w:link w:val="1029"/>
    <w:rPr>
      <w:sz w:val="24"/>
      <w:szCs w:val="24"/>
    </w:rPr>
  </w:style>
  <w:style w:type="character" w:styleId="1031">
    <w:name w:val="annotation reference"/>
    <w:rPr>
      <w:sz w:val="16"/>
      <w:szCs w:val="16"/>
    </w:rPr>
  </w:style>
  <w:style w:type="paragraph" w:styleId="1032">
    <w:name w:val="annotation text"/>
    <w:basedOn w:val="997"/>
    <w:link w:val="1033"/>
    <w:pPr>
      <w:spacing w:line="240" w:lineRule="auto"/>
    </w:pPr>
    <w:rPr>
      <w:sz w:val="20"/>
      <w:szCs w:val="20"/>
    </w:rPr>
  </w:style>
  <w:style w:type="character" w:styleId="1033" w:customStyle="1">
    <w:name w:val="Текст примечания Знак"/>
    <w:link w:val="1032"/>
  </w:style>
  <w:style w:type="paragraph" w:styleId="1034">
    <w:name w:val="annotation subject"/>
    <w:basedOn w:val="1032"/>
    <w:next w:val="1032"/>
    <w:link w:val="1035"/>
    <w:rPr>
      <w:b/>
      <w:bCs/>
    </w:rPr>
  </w:style>
  <w:style w:type="character" w:styleId="1035" w:customStyle="1">
    <w:name w:val="Тема примечания Знак"/>
    <w:link w:val="1034"/>
    <w:rPr>
      <w:b/>
      <w:bCs/>
    </w:rPr>
  </w:style>
  <w:style w:type="paragraph" w:styleId="1036">
    <w:name w:val="Footer"/>
    <w:basedOn w:val="997"/>
    <w:link w:val="103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7" w:customStyle="1">
    <w:name w:val="Нижний колонтитул Знак"/>
    <w:link w:val="1036"/>
    <w:uiPriority w:val="99"/>
    <w:rPr>
      <w:sz w:val="28"/>
      <w:szCs w:val="28"/>
    </w:rPr>
  </w:style>
  <w:style w:type="paragraph" w:styleId="1038">
    <w:name w:val="Revision"/>
    <w:hidden/>
    <w:uiPriority w:val="99"/>
    <w:semiHidden/>
    <w:rPr>
      <w:sz w:val="28"/>
      <w:szCs w:val="28"/>
    </w:rPr>
  </w:style>
  <w:style w:type="character" w:styleId="1039" w:customStyle="1">
    <w:name w:val="Основной текст 3 Знак"/>
    <w:link w:val="1004"/>
    <w:rPr>
      <w:color w:val="0000ff"/>
      <w:sz w:val="24"/>
      <w:szCs w:val="24"/>
      <w:lang w:eastAsia="en-US"/>
    </w:rPr>
  </w:style>
  <w:style w:type="paragraph" w:styleId="1040">
    <w:name w:val="Title"/>
    <w:basedOn w:val="997"/>
    <w:link w:val="104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41" w:customStyle="1">
    <w:name w:val="Заголовок Знак"/>
    <w:link w:val="1040"/>
    <w:rPr>
      <w:b/>
      <w:sz w:val="22"/>
      <w:szCs w:val="22"/>
      <w:shd w:val="clear" w:color="auto" w:fill="ffffff"/>
    </w:rPr>
  </w:style>
  <w:style w:type="character" w:styleId="1042" w:customStyle="1">
    <w:name w:val="Заголовок 1 Знак"/>
    <w:link w:val="998"/>
    <w:rPr>
      <w:rFonts w:ascii="Cambria" w:hAnsi="Cambria" w:eastAsia="Times New Roman" w:cs="Times New Roman"/>
      <w:b/>
      <w:bCs/>
      <w:sz w:val="32"/>
      <w:szCs w:val="32"/>
    </w:rPr>
  </w:style>
  <w:style w:type="character" w:styleId="1043" w:customStyle="1">
    <w:name w:val="Заголовок 2 Знак"/>
    <w:link w:val="99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44">
    <w:name w:val="Body Text Indent"/>
    <w:basedOn w:val="997"/>
    <w:link w:val="1045"/>
    <w:pPr>
      <w:ind w:left="283"/>
      <w:spacing w:after="120"/>
    </w:pPr>
  </w:style>
  <w:style w:type="character" w:styleId="1045" w:customStyle="1">
    <w:name w:val="Основной текст с отступом Знак"/>
    <w:link w:val="1044"/>
    <w:rPr>
      <w:sz w:val="28"/>
      <w:szCs w:val="28"/>
    </w:rPr>
  </w:style>
  <w:style w:type="paragraph" w:styleId="1046" w:customStyle="1">
    <w:name w:val="Пункт 3.3.3"/>
    <w:basedOn w:val="99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7" w:customStyle="1">
    <w:name w:val="Заглавие"/>
    <w:basedOn w:val="99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8">
    <w:name w:val="Caption"/>
    <w:basedOn w:val="997"/>
    <w:next w:val="997"/>
    <w:link w:val="85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50" w:customStyle="1">
    <w:name w:val="Знак1"/>
    <w:basedOn w:val="99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1" w:customStyle="1">
    <w:name w:val="Контракт-раздел"/>
    <w:basedOn w:val="99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52" w:customStyle="1">
    <w:name w:val="Контракт-пункт"/>
    <w:basedOn w:val="997"/>
    <w:pPr>
      <w:numPr>
        <w:ilvl w:val="1"/>
        <w:numId w:val="4"/>
      </w:numPr>
    </w:pPr>
  </w:style>
  <w:style w:type="paragraph" w:styleId="1053" w:customStyle="1">
    <w:name w:val="Контракт-подпункт"/>
    <w:basedOn w:val="997"/>
    <w:pPr>
      <w:numPr>
        <w:ilvl w:val="2"/>
        <w:numId w:val="4"/>
      </w:numPr>
    </w:pPr>
  </w:style>
  <w:style w:type="paragraph" w:styleId="1054" w:customStyle="1">
    <w:name w:val="Контракт-подподпункт"/>
    <w:basedOn w:val="997"/>
    <w:pPr>
      <w:numPr>
        <w:ilvl w:val="3"/>
        <w:numId w:val="4"/>
      </w:numPr>
    </w:pPr>
  </w:style>
  <w:style w:type="character" w:styleId="1055" w:customStyle="1">
    <w:name w:val="Текст сноски Знак"/>
    <w:link w:val="1010"/>
    <w:uiPriority w:val="99"/>
  </w:style>
  <w:style w:type="character" w:styleId="1056">
    <w:name w:val="Hyperlink"/>
    <w:unhideWhenUsed/>
    <w:rPr>
      <w:color w:val="0000ff"/>
      <w:u w:val="single"/>
    </w:rPr>
  </w:style>
  <w:style w:type="paragraph" w:styleId="1057">
    <w:name w:val="endnote text"/>
    <w:basedOn w:val="997"/>
    <w:link w:val="1058"/>
    <w:uiPriority w:val="99"/>
    <w:semiHidden/>
    <w:unhideWhenUsed/>
    <w:rPr>
      <w:sz w:val="20"/>
      <w:szCs w:val="20"/>
    </w:rPr>
  </w:style>
  <w:style w:type="character" w:styleId="1058" w:customStyle="1">
    <w:name w:val="Текст концевой сноски Знак"/>
    <w:link w:val="1057"/>
    <w:uiPriority w:val="99"/>
    <w:semiHidden/>
  </w:style>
  <w:style w:type="character" w:styleId="1059">
    <w:name w:val="endnote reference"/>
    <w:uiPriority w:val="99"/>
    <w:semiHidden/>
    <w:unhideWhenUsed/>
    <w:rPr>
      <w:vertAlign w:val="superscript"/>
    </w:rPr>
  </w:style>
  <w:style w:type="paragraph" w:styleId="1060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61">
    <w:name w:val="FollowedHyperlink"/>
    <w:basedOn w:val="1001"/>
    <w:uiPriority w:val="99"/>
    <w:semiHidden/>
    <w:unhideWhenUsed/>
    <w:rPr>
      <w:color w:val="800080" w:themeColor="followedHyperlink"/>
      <w:u w:val="single"/>
    </w:rPr>
  </w:style>
  <w:style w:type="character" w:styleId="1062" w:customStyle="1">
    <w:name w:val="Верхний колонтитул Знак"/>
    <w:basedOn w:val="1001"/>
    <w:link w:val="1005"/>
    <w:uiPriority w:val="99"/>
    <w:rPr>
      <w:sz w:val="28"/>
      <w:szCs w:val="28"/>
    </w:rPr>
  </w:style>
  <w:style w:type="character" w:styleId="1063" w:customStyle="1">
    <w:name w:val="Абзац списка Знак"/>
    <w:link w:val="102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hyperlink" Target="mailto:ld@rushydro.ru" TargetMode="External"/><Relationship Id="rId15" Type="http://schemas.openxmlformats.org/officeDocument/2006/relationships/hyperlink" Target="http://www.rushydro.ru/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8793A-26C7-4339-971D-70E8B1BE8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3CD6BF-EA95-4A3C-975E-E1A425F4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afonina_yv</cp:lastModifiedBy>
  <cp:revision>196</cp:revision>
  <dcterms:created xsi:type="dcterms:W3CDTF">2021-11-15T05:58:00Z</dcterms:created>
  <dcterms:modified xsi:type="dcterms:W3CDTF">2025-12-23T05:54:36Z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